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F978F">
      <w:pPr>
        <w:widowControl/>
        <w:shd w:val="clear" w:color="auto" w:fill="FFFFFF"/>
        <w:spacing w:line="480" w:lineRule="atLeast"/>
        <w:jc w:val="center"/>
        <w:textAlignment w:val="top"/>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t>福建中医药大学附属第三人民医院</w:t>
      </w:r>
    </w:p>
    <w:p w14:paraId="3B060A83">
      <w:pPr>
        <w:widowControl/>
        <w:shd w:val="clear" w:color="auto" w:fill="FFFFFF"/>
        <w:spacing w:line="480" w:lineRule="atLeast"/>
        <w:jc w:val="center"/>
        <w:textAlignment w:val="top"/>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2"/>
          <w:szCs w:val="32"/>
          <w:lang w:val="en-US" w:eastAsia="zh-CN"/>
          <w14:textFill>
            <w14:solidFill>
              <w14:schemeClr w14:val="tx1"/>
            </w14:solidFill>
          </w14:textFill>
        </w:rPr>
        <w:t>医疗电子票据</w:t>
      </w:r>
      <w:r>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t>系统维保项目询价采购公告</w:t>
      </w:r>
    </w:p>
    <w:p w14:paraId="71CE1AF4">
      <w:pPr>
        <w:widowControl/>
        <w:shd w:val="clear" w:color="auto" w:fill="FFFFFF"/>
        <w:spacing w:line="390" w:lineRule="atLeast"/>
        <w:ind w:firstLine="42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根据医院业务发展需求，我院拟对院内</w:t>
      </w: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系统维保进行维保询价采购，欢迎有能力提供相关产品且具有合法合格资质的公司前来报名。现将有关事项公告如下：</w:t>
      </w:r>
    </w:p>
    <w:p w14:paraId="0AECFAE7">
      <w:pPr>
        <w:widowControl/>
        <w:numPr>
          <w:ilvl w:val="255"/>
          <w:numId w:val="0"/>
        </w:numPr>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系统维保项目</w:t>
      </w:r>
    </w:p>
    <w:p w14:paraId="406237ED">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二、项目编号：闽三院询【202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】信</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-1</w:t>
      </w:r>
    </w:p>
    <w:p w14:paraId="130847EE">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三、询价编号：闽三院询【202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】信</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14:paraId="3FBC3E37">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四、采购内容</w:t>
      </w:r>
    </w:p>
    <w:p w14:paraId="33ABAC22">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14:textFill>
            <w14:solidFill>
              <w14:schemeClr w14:val="tx1"/>
            </w14:solidFill>
          </w14:textFill>
        </w:rPr>
      </w:pPr>
    </w:p>
    <w:tbl>
      <w:tblPr>
        <w:tblStyle w:val="7"/>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62"/>
        <w:gridCol w:w="1809"/>
        <w:gridCol w:w="1254"/>
        <w:gridCol w:w="2392"/>
      </w:tblGrid>
      <w:tr w14:paraId="526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40" w:type="dxa"/>
            <w:vAlign w:val="center"/>
          </w:tcPr>
          <w:p w14:paraId="5BF75A42">
            <w:pPr>
              <w:widowControl/>
              <w:shd w:val="clear" w:color="auto" w:fill="FFFFFF"/>
              <w:spacing w:line="390" w:lineRule="atLeast"/>
              <w:jc w:val="center"/>
              <w:textAlignment w:val="top"/>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30"/>
                <w:szCs w:val="30"/>
                <w:lang w:bidi="ar"/>
                <w14:textFill>
                  <w14:solidFill>
                    <w14:schemeClr w14:val="tx1"/>
                  </w14:solidFill>
                </w14:textFill>
              </w:rPr>
              <w:t>序号</w:t>
            </w:r>
          </w:p>
        </w:tc>
        <w:tc>
          <w:tcPr>
            <w:tcW w:w="1762" w:type="dxa"/>
            <w:vAlign w:val="center"/>
          </w:tcPr>
          <w:p w14:paraId="3B4E81E0">
            <w:pPr>
              <w:widowControl/>
              <w:shd w:val="clear" w:color="auto" w:fill="FFFFFF"/>
              <w:spacing w:line="390" w:lineRule="atLeast"/>
              <w:jc w:val="center"/>
              <w:textAlignment w:val="top"/>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名称</w:t>
            </w:r>
          </w:p>
        </w:tc>
        <w:tc>
          <w:tcPr>
            <w:tcW w:w="1809" w:type="dxa"/>
            <w:vAlign w:val="center"/>
          </w:tcPr>
          <w:p w14:paraId="459720DB">
            <w:pPr>
              <w:widowControl/>
              <w:shd w:val="clear" w:color="auto" w:fill="FFFFFF"/>
              <w:spacing w:line="390" w:lineRule="atLeast"/>
              <w:jc w:val="center"/>
              <w:textAlignment w:val="top"/>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数量</w:t>
            </w:r>
          </w:p>
          <w:p w14:paraId="4DD9376E">
            <w:pPr>
              <w:widowControl/>
              <w:shd w:val="clear" w:color="auto" w:fill="FFFFFF"/>
              <w:spacing w:line="390" w:lineRule="atLeast"/>
              <w:jc w:val="center"/>
              <w:textAlignment w:val="top"/>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（单位：年）</w:t>
            </w:r>
          </w:p>
        </w:tc>
        <w:tc>
          <w:tcPr>
            <w:tcW w:w="1254" w:type="dxa"/>
            <w:shd w:val="clear" w:color="auto" w:fill="auto"/>
            <w:vAlign w:val="center"/>
          </w:tcPr>
          <w:p w14:paraId="213054A0">
            <w:pPr>
              <w:widowControl/>
              <w:shd w:val="clear" w:color="auto" w:fill="FFFFFF"/>
              <w:spacing w:line="390" w:lineRule="atLeast"/>
              <w:ind w:firstLine="0" w:firstLineChars="0"/>
              <w:jc w:val="center"/>
              <w:textAlignment w:val="top"/>
              <w:rPr>
                <w:rFonts w:hint="eastAsia" w:ascii="宋体" w:hAnsi="宋体" w:eastAsia="宋体" w:cs="宋体"/>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预算价格</w:t>
            </w:r>
          </w:p>
        </w:tc>
        <w:tc>
          <w:tcPr>
            <w:tcW w:w="2392" w:type="dxa"/>
            <w:vAlign w:val="center"/>
          </w:tcPr>
          <w:p w14:paraId="562B338C">
            <w:pPr>
              <w:widowControl/>
              <w:shd w:val="clear" w:color="auto" w:fill="FFFFFF"/>
              <w:spacing w:line="390" w:lineRule="atLeast"/>
              <w:jc w:val="center"/>
              <w:textAlignment w:val="top"/>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主要配置参数</w:t>
            </w:r>
          </w:p>
        </w:tc>
      </w:tr>
      <w:tr w14:paraId="5661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40" w:type="dxa"/>
            <w:vAlign w:val="center"/>
          </w:tcPr>
          <w:p w14:paraId="1869F1F3">
            <w:pPr>
              <w:widowControl/>
              <w:shd w:val="clear" w:color="auto" w:fill="FFFFFF"/>
              <w:spacing w:line="390" w:lineRule="atLeast"/>
              <w:ind w:firstLine="480" w:firstLineChars="200"/>
              <w:jc w:val="left"/>
              <w:textAlignment w:val="top"/>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1762" w:type="dxa"/>
            <w:vAlign w:val="center"/>
          </w:tcPr>
          <w:p w14:paraId="3373A8E2">
            <w:pPr>
              <w:widowControl/>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系统维保</w:t>
            </w:r>
          </w:p>
        </w:tc>
        <w:tc>
          <w:tcPr>
            <w:tcW w:w="1809" w:type="dxa"/>
            <w:vAlign w:val="center"/>
          </w:tcPr>
          <w:p w14:paraId="7722A304">
            <w:pPr>
              <w:widowControl/>
              <w:shd w:val="clear" w:color="auto" w:fill="FFFFFF"/>
              <w:spacing w:line="390" w:lineRule="atLeast"/>
              <w:jc w:val="center"/>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254" w:type="dxa"/>
            <w:vAlign w:val="center"/>
          </w:tcPr>
          <w:p w14:paraId="06D4C425">
            <w:pPr>
              <w:widowControl/>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88</w:t>
            </w:r>
            <w:r>
              <w:rPr>
                <w:rFonts w:hint="eastAsia" w:ascii="宋体" w:hAnsi="宋体" w:eastAsia="宋体" w:cs="宋体"/>
                <w:color w:val="000000" w:themeColor="text1"/>
                <w:kern w:val="0"/>
                <w:sz w:val="24"/>
                <w:szCs w:val="24"/>
                <w14:textFill>
                  <w14:solidFill>
                    <w14:schemeClr w14:val="tx1"/>
                  </w14:solidFill>
                </w14:textFill>
              </w:rPr>
              <w:t>万元</w:t>
            </w:r>
          </w:p>
        </w:tc>
        <w:tc>
          <w:tcPr>
            <w:tcW w:w="2392" w:type="dxa"/>
            <w:vAlign w:val="center"/>
          </w:tcPr>
          <w:p w14:paraId="2B75844D">
            <w:pPr>
              <w:widowControl/>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以调研后的参数为主</w:t>
            </w:r>
          </w:p>
        </w:tc>
      </w:tr>
    </w:tbl>
    <w:p w14:paraId="486D58BF">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auto"/>
          <w14:textFill>
            <w14:solidFill>
              <w14:schemeClr w14:val="tx1"/>
            </w14:solidFill>
          </w14:textFill>
        </w:rPr>
        <w:t>注意：响应方报价不得高于预算价格，若高于预算价格则报价无效。</w:t>
      </w:r>
    </w:p>
    <w:p w14:paraId="25F27F77">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p>
    <w:p w14:paraId="6310B72B">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五、报名和投递</w:t>
      </w:r>
      <w:r>
        <w:rPr>
          <w:rFonts w:hint="eastAsia" w:ascii="宋体" w:hAnsi="宋体" w:eastAsia="宋体" w:cs="宋体"/>
          <w:color w:val="000000" w:themeColor="text1"/>
          <w:kern w:val="0"/>
          <w:sz w:val="24"/>
          <w:szCs w:val="24"/>
          <w:lang w:eastAsia="zh-CN"/>
          <w14:textFill>
            <w14:solidFill>
              <w14:schemeClr w14:val="tx1"/>
            </w14:solidFill>
          </w14:textFill>
        </w:rPr>
        <w:t>询价采购</w:t>
      </w:r>
      <w:r>
        <w:rPr>
          <w:rFonts w:hint="eastAsia" w:ascii="宋体" w:hAnsi="宋体" w:eastAsia="宋体" w:cs="宋体"/>
          <w:color w:val="000000" w:themeColor="text1"/>
          <w:kern w:val="0"/>
          <w:sz w:val="24"/>
          <w:szCs w:val="24"/>
          <w14:textFill>
            <w14:solidFill>
              <w14:schemeClr w14:val="tx1"/>
            </w14:solidFill>
          </w14:textFill>
        </w:rPr>
        <w:t>文件时间和地点</w:t>
      </w:r>
    </w:p>
    <w:p w14:paraId="134FDCA4">
      <w:pPr>
        <w:widowControl/>
        <w:shd w:val="clear" w:color="auto" w:fill="FFFFFF"/>
        <w:spacing w:line="390" w:lineRule="atLeast"/>
        <w:ind w:firstLine="210"/>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1.时间：202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日至202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日工作日北京时间上午8:00-12:00，下午14:30-17:30。</w:t>
      </w:r>
    </w:p>
    <w:p w14:paraId="79D04841">
      <w:pPr>
        <w:widowControl/>
        <w:shd w:val="clear" w:color="auto" w:fill="FFFFFF"/>
        <w:spacing w:line="390" w:lineRule="atLeast"/>
        <w:ind w:firstLine="210"/>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2.地点：福州市闽侯县上街镇国宾大道363号福建中医药大学附属第三人民医院信息科</w:t>
      </w:r>
    </w:p>
    <w:p w14:paraId="4670ED29">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六、报名应提交材料</w:t>
      </w:r>
    </w:p>
    <w:p w14:paraId="754707FF">
      <w:pPr>
        <w:widowControl/>
        <w:shd w:val="clear" w:color="auto" w:fill="FFFFFF"/>
        <w:spacing w:line="390" w:lineRule="atLeast"/>
        <w:ind w:firstLine="288"/>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符合资格的供应商请于202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000000" w:themeColor="text1"/>
          <w:kern w:val="0"/>
          <w:sz w:val="24"/>
          <w:szCs w:val="24"/>
          <w:lang w:val="en-US" w:eastAsia="zh-CN"/>
          <w14:textFill>
            <w14:solidFill>
              <w14:schemeClr w14:val="tx1"/>
            </w14:solidFill>
          </w14:textFill>
        </w:rPr>
        <w:t>17:30</w:t>
      </w:r>
      <w:r>
        <w:rPr>
          <w:rFonts w:hint="eastAsia" w:ascii="宋体" w:hAnsi="宋体" w:eastAsia="宋体" w:cs="宋体"/>
          <w:color w:val="000000" w:themeColor="text1"/>
          <w:kern w:val="0"/>
          <w:sz w:val="24"/>
          <w:szCs w:val="24"/>
          <w14:textFill>
            <w14:solidFill>
              <w14:schemeClr w14:val="tx1"/>
            </w14:solidFill>
          </w14:textFill>
        </w:rPr>
        <w:t>前，将材料按以下顺序后装订后，一式肆份胶装密封装于档案袋内递交：</w:t>
      </w:r>
    </w:p>
    <w:p w14:paraId="410AB421">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报价函</w:t>
      </w:r>
      <w:r>
        <w:rPr>
          <w:rFonts w:hint="eastAsia" w:ascii="宋体" w:hAnsi="宋体" w:eastAsia="宋体" w:cs="宋体"/>
          <w:color w:val="000000" w:themeColor="text1"/>
          <w:sz w:val="24"/>
          <w:szCs w:val="24"/>
          <w14:textFill>
            <w14:solidFill>
              <w14:schemeClr w14:val="tx1"/>
            </w14:solidFill>
          </w14:textFill>
        </w:rPr>
        <w:t>及相关系统接口费用报价。</w:t>
      </w:r>
    </w:p>
    <w:p w14:paraId="52AD1E71">
      <w:pPr>
        <w:pStyle w:val="6"/>
        <w:widowControl/>
        <w:shd w:val="clear" w:color="auto" w:fill="FFFFFF"/>
        <w:spacing w:beforeAutospacing="0" w:afterAutospacing="0"/>
        <w:ind w:firstLine="960" w:firstLineChars="4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报价要求</w:t>
      </w:r>
      <w:r>
        <w:rPr>
          <w:rFonts w:ascii="宋体" w:hAnsi="宋体" w:eastAsia="宋体" w:cs="宋体"/>
          <w:color w:val="000000" w:themeColor="text1"/>
          <w:sz w:val="24"/>
          <w:szCs w:val="24"/>
          <w14:textFill>
            <w14:solidFill>
              <w14:schemeClr w14:val="tx1"/>
            </w14:solidFill>
          </w14:textFill>
        </w:rPr>
        <w:t>包括：</w:t>
      </w:r>
      <w:r>
        <w:rPr>
          <w:rFonts w:hint="eastAsia" w:ascii="宋体" w:hAnsi="宋体" w:eastAsia="宋体" w:cs="宋体"/>
          <w:color w:val="000000" w:themeColor="text1"/>
          <w:sz w:val="24"/>
          <w:szCs w:val="24"/>
          <w14:textFill>
            <w14:solidFill>
              <w14:schemeClr w14:val="tx1"/>
            </w14:solidFill>
          </w14:textFill>
        </w:rPr>
        <w:t>对项目一年服务期系统运维费用；</w:t>
      </w:r>
    </w:p>
    <w:p w14:paraId="5675C7B1">
      <w:pPr>
        <w:pStyle w:val="6"/>
        <w:widowControl/>
        <w:shd w:val="clear" w:color="auto" w:fill="FFFFFF"/>
        <w:spacing w:beforeAutospacing="0" w:afterAutospacing="0"/>
        <w:ind w:firstLine="960" w:firstLineChars="4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报价函的报价为整体报价，需考虑项目税费、实施费、差旅费等其他额外费用，后期院方不再为该项目实施建设额外支付任何费用</w:t>
      </w:r>
      <w:r>
        <w:rPr>
          <w:rFonts w:ascii="宋体" w:hAnsi="宋体" w:eastAsia="宋体" w:cs="宋体"/>
          <w:color w:val="000000" w:themeColor="text1"/>
          <w:sz w:val="24"/>
          <w:szCs w:val="24"/>
          <w14:textFill>
            <w14:solidFill>
              <w14:schemeClr w14:val="tx1"/>
            </w14:solidFill>
          </w14:textFill>
        </w:rPr>
        <w:t>；</w:t>
      </w:r>
    </w:p>
    <w:p w14:paraId="7F7AA7B1">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项目实施进度安排；</w:t>
      </w:r>
    </w:p>
    <w:p w14:paraId="1F801BB4">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项目需求服务偏离表；</w:t>
      </w:r>
    </w:p>
    <w:p w14:paraId="503C49FA">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（4）企业营业执照；</w:t>
      </w:r>
    </w:p>
    <w:p w14:paraId="5453BA73">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（5）公司法人代表授权书；</w:t>
      </w:r>
    </w:p>
    <w:p w14:paraId="45D477A8">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）服务承诺书；</w:t>
      </w:r>
    </w:p>
    <w:p w14:paraId="02FF40FA">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）其他优惠承诺书；</w:t>
      </w:r>
    </w:p>
    <w:p w14:paraId="156C5B3D">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*所有材料均需加盖公章。</w:t>
      </w:r>
    </w:p>
    <w:p w14:paraId="78F4F146">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*报价函与其他资格材料分册进行装订</w:t>
      </w:r>
    </w:p>
    <w:p w14:paraId="67D91186">
      <w:pPr>
        <w:pStyle w:val="6"/>
        <w:widowControl/>
        <w:shd w:val="clear" w:color="auto" w:fill="FFFFFF"/>
        <w:spacing w:beforeAutospacing="0" w:afterAutospacing="0"/>
        <w:ind w:firstLine="42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*参与报价的厂商准备好身份证以备资格审查</w:t>
      </w:r>
    </w:p>
    <w:p w14:paraId="05BBFB27">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*同时根据附件一中项目技术要求进行逐一响应。</w:t>
      </w:r>
    </w:p>
    <w:p w14:paraId="0D822EB4">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w:t>
      </w:r>
      <w:r>
        <w:rPr>
          <w:rFonts w:hint="eastAsia" w:ascii="宋体" w:hAnsi="宋体" w:eastAsia="宋体" w:cs="宋体"/>
          <w:color w:val="000000" w:themeColor="text1"/>
          <w:kern w:val="0"/>
          <w:sz w:val="24"/>
          <w:szCs w:val="24"/>
          <w:lang w:eastAsia="zh-CN"/>
          <w14:textFill>
            <w14:solidFill>
              <w14:schemeClr w14:val="tx1"/>
            </w14:solidFill>
          </w14:textFill>
        </w:rPr>
        <w:t>询价采购</w:t>
      </w:r>
      <w:r>
        <w:rPr>
          <w:rFonts w:hint="eastAsia" w:ascii="宋体" w:hAnsi="宋体" w:eastAsia="宋体" w:cs="宋体"/>
          <w:color w:val="000000" w:themeColor="text1"/>
          <w:kern w:val="0"/>
          <w:sz w:val="24"/>
          <w:szCs w:val="24"/>
          <w14:textFill>
            <w14:solidFill>
              <w14:schemeClr w14:val="tx1"/>
            </w14:solidFill>
          </w14:textFill>
        </w:rPr>
        <w:t>时间及地点：</w:t>
      </w:r>
      <w:r>
        <w:rPr>
          <w:rFonts w:hint="eastAsia" w:ascii="寰蒋闆呴粦" w:hAnsi="寰蒋闆呴粦" w:eastAsia="宋体" w:cs="寰蒋闆呴粦"/>
          <w:color w:val="000000" w:themeColor="text1"/>
          <w:sz w:val="24"/>
          <w:szCs w:val="24"/>
          <w:shd w:val="clear" w:color="auto" w:fill="FFFFFF"/>
          <w:lang w:eastAsia="zh-CN"/>
          <w14:textFill>
            <w14:solidFill>
              <w14:schemeClr w14:val="tx1"/>
            </w14:solidFill>
          </w14:textFill>
        </w:rPr>
        <w:t>询价采购</w:t>
      </w:r>
      <w:r>
        <w:rPr>
          <w:rFonts w:ascii="宋体" w:hAnsi="宋体" w:eastAsia="宋体" w:cs="宋体"/>
          <w:color w:val="000000" w:themeColor="text1"/>
          <w:kern w:val="0"/>
          <w:sz w:val="24"/>
          <w:szCs w:val="24"/>
          <w14:textFill>
            <w14:solidFill>
              <w14:schemeClr w14:val="tx1"/>
            </w14:solidFill>
          </w14:textFill>
        </w:rPr>
        <w:t>会于202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日上午</w:t>
      </w:r>
      <w:r>
        <w:rPr>
          <w:rFonts w:hint="eastAsia" w:ascii="宋体" w:hAnsi="宋体" w:eastAsia="宋体" w:cs="宋体"/>
          <w:color w:val="000000" w:themeColor="text1"/>
          <w:kern w:val="0"/>
          <w:sz w:val="24"/>
          <w:szCs w:val="24"/>
          <w14:textFill>
            <w14:solidFill>
              <w14:schemeClr w14:val="tx1"/>
            </w14:solidFill>
          </w14:textFill>
        </w:rPr>
        <w:t>10</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30</w:t>
      </w:r>
      <w:r>
        <w:rPr>
          <w:rFonts w:ascii="宋体" w:hAnsi="宋体" w:eastAsia="宋体" w:cs="宋体"/>
          <w:color w:val="000000" w:themeColor="text1"/>
          <w:kern w:val="0"/>
          <w:sz w:val="24"/>
          <w:szCs w:val="24"/>
          <w14:textFill>
            <w14:solidFill>
              <w14:schemeClr w14:val="tx1"/>
            </w14:solidFill>
          </w14:textFill>
        </w:rPr>
        <w:t>在福建中医药大学附属第三人民医院</w:t>
      </w:r>
      <w:r>
        <w:rPr>
          <w:rFonts w:hint="eastAsia" w:ascii="宋体" w:hAnsi="宋体" w:eastAsia="宋体" w:cs="宋体"/>
          <w:color w:val="000000" w:themeColor="text1"/>
          <w:kern w:val="0"/>
          <w:sz w:val="24"/>
          <w:szCs w:val="24"/>
          <w:lang w:eastAsia="zh-CN"/>
          <w14:textFill>
            <w14:solidFill>
              <w14:schemeClr w14:val="tx1"/>
            </w14:solidFill>
          </w14:textFill>
        </w:rPr>
        <w:t>四</w:t>
      </w:r>
      <w:r>
        <w:rPr>
          <w:rFonts w:ascii="宋体" w:hAnsi="宋体" w:eastAsia="宋体" w:cs="宋体"/>
          <w:color w:val="000000" w:themeColor="text1"/>
          <w:kern w:val="0"/>
          <w:sz w:val="24"/>
          <w:szCs w:val="24"/>
          <w14:textFill>
            <w14:solidFill>
              <w14:schemeClr w14:val="tx1"/>
            </w14:solidFill>
          </w14:textFill>
        </w:rPr>
        <w:t>楼会议室进行。逾期不予受理。</w:t>
      </w:r>
    </w:p>
    <w:p w14:paraId="56466DE1">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八、联系人及电话：</w:t>
      </w:r>
    </w:p>
    <w:p w14:paraId="66F23D4F">
      <w:pPr>
        <w:widowControl/>
        <w:shd w:val="clear" w:color="auto" w:fill="FFFFFF"/>
        <w:spacing w:line="390" w:lineRule="atLeast"/>
        <w:ind w:firstLine="720" w:firstLineChars="300"/>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w:t>
      </w:r>
      <w:r>
        <w:rPr>
          <w:rFonts w:ascii="宋体" w:hAnsi="宋体" w:eastAsia="宋体" w:cs="宋体"/>
          <w:color w:val="000000" w:themeColor="text1"/>
          <w:kern w:val="0"/>
          <w:sz w:val="24"/>
          <w:szCs w:val="24"/>
          <w14:textFill>
            <w14:solidFill>
              <w14:schemeClr w14:val="tx1"/>
            </w14:solidFill>
          </w14:textFill>
        </w:rPr>
        <w:t>0591-62099369      联系人：</w:t>
      </w:r>
      <w:r>
        <w:rPr>
          <w:rFonts w:hint="eastAsia" w:ascii="宋体" w:hAnsi="宋体" w:eastAsia="宋体" w:cs="宋体"/>
          <w:color w:val="000000" w:themeColor="text1"/>
          <w:kern w:val="0"/>
          <w:sz w:val="24"/>
          <w:szCs w:val="24"/>
          <w14:textFill>
            <w14:solidFill>
              <w14:schemeClr w14:val="tx1"/>
            </w14:solidFill>
          </w14:textFill>
        </w:rPr>
        <w:t>黄</w:t>
      </w:r>
      <w:r>
        <w:rPr>
          <w:rFonts w:ascii="宋体" w:hAnsi="宋体" w:eastAsia="宋体" w:cs="宋体"/>
          <w:color w:val="000000" w:themeColor="text1"/>
          <w:kern w:val="0"/>
          <w:sz w:val="24"/>
          <w:szCs w:val="24"/>
          <w14:textFill>
            <w14:solidFill>
              <w14:schemeClr w14:val="tx1"/>
            </w14:solidFill>
          </w14:textFill>
        </w:rPr>
        <w:t>工</w:t>
      </w:r>
    </w:p>
    <w:p w14:paraId="7626E11A">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p>
    <w:p w14:paraId="4C96A7BE">
      <w:pPr>
        <w:widowControl/>
        <w:shd w:val="clear" w:color="auto" w:fill="FFFFFF"/>
        <w:spacing w:line="390" w:lineRule="atLeast"/>
        <w:jc w:val="righ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福建中医药大学附属第三人民医院</w:t>
      </w:r>
    </w:p>
    <w:p w14:paraId="4AAE0342">
      <w:pPr>
        <w:widowControl/>
        <w:shd w:val="clear" w:color="auto" w:fill="FFFFFF"/>
        <w:spacing w:line="390" w:lineRule="atLeast"/>
        <w:jc w:val="righ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p>
    <w:p w14:paraId="34A9FEB1">
      <w:pPr>
        <w:rPr>
          <w:rFonts w:hint="eastAsia" w:ascii="宋体" w:hAnsi="宋体" w:eastAsia="宋体" w:cs="宋体"/>
          <w:color w:val="000000" w:themeColor="text1"/>
          <w:kern w:val="0"/>
          <w:sz w:val="24"/>
          <w:szCs w:val="24"/>
          <w:shd w:val="clear" w:color="auto"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0856784">
      <w:pPr>
        <w:pStyle w:val="2"/>
        <w:ind w:firstLine="0"/>
        <w:rPr>
          <w:rFonts w:hint="eastAsia" w:ascii="黑体" w:hAnsi="黑体" w:eastAsia="黑体" w:cs="仿宋_GB2312"/>
          <w:b/>
          <w:bCs/>
          <w:color w:val="000000" w:themeColor="text1"/>
          <w:kern w:val="0"/>
          <w:sz w:val="30"/>
          <w:szCs w:val="30"/>
          <w14:textFill>
            <w14:solidFill>
              <w14:schemeClr w14:val="tx1"/>
            </w14:solidFill>
          </w14:textFill>
        </w:rPr>
      </w:pPr>
      <w:r>
        <w:rPr>
          <w:rFonts w:hint="eastAsia" w:ascii="黑体" w:hAnsi="黑体" w:eastAsia="黑体" w:cs="仿宋_GB2312"/>
          <w:b/>
          <w:bCs/>
          <w:color w:val="000000" w:themeColor="text1"/>
          <w:kern w:val="0"/>
          <w:sz w:val="30"/>
          <w:szCs w:val="30"/>
          <w14:textFill>
            <w14:solidFill>
              <w14:schemeClr w14:val="tx1"/>
            </w14:solidFill>
          </w14:textFill>
        </w:rPr>
        <w:t>附件一、</w:t>
      </w:r>
    </w:p>
    <w:p w14:paraId="58E10DB1">
      <w:pPr>
        <w:pStyle w:val="2"/>
        <w:ind w:firstLine="0"/>
        <w:jc w:val="both"/>
        <w:rPr>
          <w:rFonts w:hint="eastAsia" w:ascii="黑体" w:hAnsi="黑体" w:eastAsia="黑体" w:cs="仿宋_GB2312"/>
          <w:b/>
          <w:bCs/>
          <w:color w:val="000000" w:themeColor="text1"/>
          <w:kern w:val="0"/>
          <w:sz w:val="30"/>
          <w:szCs w:val="30"/>
          <w14:textFill>
            <w14:solidFill>
              <w14:schemeClr w14:val="tx1"/>
            </w14:solidFill>
          </w14:textFill>
        </w:rPr>
      </w:pPr>
      <w:r>
        <w:rPr>
          <w:rFonts w:hint="eastAsia" w:ascii="黑体" w:hAnsi="黑体" w:eastAsia="黑体" w:cs="仿宋_GB2312"/>
          <w:b/>
          <w:bCs/>
          <w:color w:val="000000" w:themeColor="text1"/>
          <w:kern w:val="0"/>
          <w:sz w:val="30"/>
          <w:szCs w:val="30"/>
          <w14:textFill>
            <w14:solidFill>
              <w14:schemeClr w14:val="tx1"/>
            </w14:solidFill>
          </w14:textFill>
        </w:rPr>
        <w:t>1、报价表：</w:t>
      </w:r>
    </w:p>
    <w:tbl>
      <w:tblPr>
        <w:tblStyle w:val="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63"/>
        <w:gridCol w:w="1919"/>
        <w:gridCol w:w="1118"/>
        <w:gridCol w:w="2900"/>
      </w:tblGrid>
      <w:tr w14:paraId="0494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6" w:type="dxa"/>
            <w:vAlign w:val="center"/>
          </w:tcPr>
          <w:p w14:paraId="4CD717DE">
            <w:pPr>
              <w:widowControl/>
              <w:spacing w:line="360" w:lineRule="exact"/>
              <w:jc w:val="center"/>
              <w:textAlignment w:val="center"/>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b/>
                <w:bCs/>
                <w:color w:val="000000" w:themeColor="text1"/>
                <w:kern w:val="0"/>
                <w:sz w:val="32"/>
                <w:szCs w:val="32"/>
                <w:lang w:bidi="ar"/>
                <w14:textFill>
                  <w14:solidFill>
                    <w14:schemeClr w14:val="tx1"/>
                  </w14:solidFill>
                </w14:textFill>
              </w:rPr>
              <w:t>序号</w:t>
            </w:r>
          </w:p>
        </w:tc>
        <w:tc>
          <w:tcPr>
            <w:tcW w:w="2263" w:type="dxa"/>
            <w:vAlign w:val="center"/>
          </w:tcPr>
          <w:p w14:paraId="72BB6DF2">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名称</w:t>
            </w:r>
          </w:p>
        </w:tc>
        <w:tc>
          <w:tcPr>
            <w:tcW w:w="1919" w:type="dxa"/>
            <w:vAlign w:val="center"/>
          </w:tcPr>
          <w:p w14:paraId="1B75D600">
            <w:pPr>
              <w:widowControl/>
              <w:spacing w:line="360" w:lineRule="exact"/>
              <w:jc w:val="center"/>
              <w:textAlignment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数量</w:t>
            </w:r>
          </w:p>
          <w:p w14:paraId="129F85DC">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（单位：年）</w:t>
            </w:r>
          </w:p>
        </w:tc>
        <w:tc>
          <w:tcPr>
            <w:tcW w:w="1118" w:type="dxa"/>
            <w:vAlign w:val="center"/>
          </w:tcPr>
          <w:p w14:paraId="0CDF03D2">
            <w:pPr>
              <w:widowControl/>
              <w:spacing w:line="360" w:lineRule="exact"/>
              <w:jc w:val="center"/>
              <w:textAlignment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型号</w:t>
            </w:r>
          </w:p>
        </w:tc>
        <w:tc>
          <w:tcPr>
            <w:tcW w:w="2900" w:type="dxa"/>
            <w:vAlign w:val="center"/>
          </w:tcPr>
          <w:p w14:paraId="62A239EC">
            <w:pPr>
              <w:widowControl/>
              <w:spacing w:line="360" w:lineRule="exact"/>
              <w:jc w:val="center"/>
              <w:textAlignment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报价（单位：万元）</w:t>
            </w:r>
          </w:p>
        </w:tc>
      </w:tr>
      <w:tr w14:paraId="30A0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96" w:type="dxa"/>
            <w:vAlign w:val="center"/>
          </w:tcPr>
          <w:p w14:paraId="624CDDAA">
            <w:pPr>
              <w:widowControl/>
              <w:spacing w:line="360" w:lineRule="exact"/>
              <w:jc w:val="center"/>
              <w:textAlignment w:val="center"/>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1</w:t>
            </w:r>
          </w:p>
        </w:tc>
        <w:tc>
          <w:tcPr>
            <w:tcW w:w="2263" w:type="dxa"/>
            <w:vAlign w:val="center"/>
          </w:tcPr>
          <w:p w14:paraId="39E0B181">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w:t>
            </w:r>
          </w:p>
        </w:tc>
        <w:tc>
          <w:tcPr>
            <w:tcW w:w="1919" w:type="dxa"/>
            <w:vAlign w:val="center"/>
          </w:tcPr>
          <w:p w14:paraId="7C06672B">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118" w:type="dxa"/>
            <w:vAlign w:val="center"/>
          </w:tcPr>
          <w:p w14:paraId="1CB0DD80">
            <w:pPr>
              <w:widowControl/>
              <w:spacing w:line="360" w:lineRule="exact"/>
              <w:jc w:val="left"/>
              <w:textAlignment w:val="center"/>
              <w:rPr>
                <w:rFonts w:hint="eastAsia" w:ascii="仿宋" w:hAnsi="仿宋" w:eastAsia="仿宋" w:cs="仿宋"/>
                <w:color w:val="000000" w:themeColor="text1"/>
                <w:sz w:val="32"/>
                <w:szCs w:val="32"/>
                <w14:textFill>
                  <w14:solidFill>
                    <w14:schemeClr w14:val="tx1"/>
                  </w14:solidFill>
                </w14:textFill>
              </w:rPr>
            </w:pPr>
          </w:p>
        </w:tc>
        <w:tc>
          <w:tcPr>
            <w:tcW w:w="2900" w:type="dxa"/>
            <w:vAlign w:val="center"/>
          </w:tcPr>
          <w:p w14:paraId="482E3B29">
            <w:pPr>
              <w:widowControl/>
              <w:spacing w:line="360" w:lineRule="exact"/>
              <w:jc w:val="left"/>
              <w:textAlignment w:val="center"/>
              <w:rPr>
                <w:rFonts w:hint="eastAsia" w:ascii="仿宋" w:hAnsi="仿宋" w:eastAsia="仿宋" w:cs="仿宋"/>
                <w:color w:val="000000" w:themeColor="text1"/>
                <w:sz w:val="32"/>
                <w:szCs w:val="32"/>
                <w14:textFill>
                  <w14:solidFill>
                    <w14:schemeClr w14:val="tx1"/>
                  </w14:solidFill>
                </w14:textFill>
              </w:rPr>
            </w:pPr>
          </w:p>
        </w:tc>
      </w:tr>
    </w:tbl>
    <w:p w14:paraId="15BE358D">
      <w:pPr>
        <w:widowControl/>
        <w:shd w:val="clear" w:color="auto" w:fill="FFFFFF"/>
        <w:spacing w:line="390" w:lineRule="atLeast"/>
        <w:ind w:firstLine="480" w:firstLineChars="20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注：采购报价含有税费、安装服务费、保修服务等各项费用，后期院方不再支付本项目额外费用；</w:t>
      </w:r>
    </w:p>
    <w:p w14:paraId="3D190E48">
      <w:pPr>
        <w:pStyle w:val="2"/>
        <w:widowControl/>
        <w:shd w:val="clear" w:color="auto" w:fill="FFFFFF"/>
        <w:spacing w:line="390" w:lineRule="atLeast"/>
        <w:ind w:firstLine="0"/>
        <w:jc w:val="left"/>
        <w:textAlignment w:val="top"/>
        <w:rPr>
          <w:rFonts w:hint="eastAsia" w:ascii="黑体" w:hAnsi="黑体" w:eastAsia="黑体" w:cs="仿宋_GB2312"/>
          <w:b/>
          <w:bCs/>
          <w:color w:val="000000" w:themeColor="text1"/>
          <w:kern w:val="0"/>
          <w:sz w:val="30"/>
          <w:szCs w:val="30"/>
          <w14:textFill>
            <w14:solidFill>
              <w14:schemeClr w14:val="tx1"/>
            </w14:solidFill>
          </w14:textFill>
        </w:rPr>
      </w:pPr>
      <w:r>
        <w:rPr>
          <w:rFonts w:hint="eastAsia" w:ascii="黑体" w:hAnsi="黑体" w:eastAsia="黑体" w:cs="仿宋_GB2312"/>
          <w:b/>
          <w:bCs/>
          <w:color w:val="000000" w:themeColor="text1"/>
          <w:kern w:val="0"/>
          <w:sz w:val="30"/>
          <w:szCs w:val="30"/>
          <w14:textFill>
            <w14:solidFill>
              <w14:schemeClr w14:val="tx1"/>
            </w14:solidFill>
          </w14:textFill>
        </w:rPr>
        <w:t>2、项目技术要求：</w:t>
      </w:r>
    </w:p>
    <w:tbl>
      <w:tblPr>
        <w:tblStyle w:val="7"/>
        <w:tblW w:w="499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3"/>
        <w:gridCol w:w="1565"/>
        <w:gridCol w:w="1021"/>
        <w:gridCol w:w="1119"/>
        <w:gridCol w:w="4526"/>
      </w:tblGrid>
      <w:tr w14:paraId="0B3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20" w:type="dxa"/>
              <w:left w:w="20" w:type="dxa"/>
              <w:bottom w:w="72" w:type="dxa"/>
              <w:right w:w="20" w:type="dxa"/>
            </w:tcMar>
            <w:vAlign w:val="center"/>
          </w:tcPr>
          <w:p w14:paraId="14ABEA1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评审指标</w:t>
            </w:r>
          </w:p>
        </w:tc>
        <w:tc>
          <w:tcPr>
            <w:tcW w:w="1993"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20" w:type="dxa"/>
              <w:left w:w="20" w:type="dxa"/>
              <w:bottom w:w="72" w:type="dxa"/>
              <w:right w:w="20" w:type="dxa"/>
            </w:tcMar>
            <w:vAlign w:val="center"/>
          </w:tcPr>
          <w:p w14:paraId="0887F9D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维保内容</w:t>
            </w:r>
          </w:p>
        </w:tc>
        <w:tc>
          <w:tcPr>
            <w:tcW w:w="2434"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20" w:type="dxa"/>
              <w:left w:w="20" w:type="dxa"/>
              <w:bottom w:w="72" w:type="dxa"/>
              <w:right w:w="20" w:type="dxa"/>
            </w:tcMar>
            <w:vAlign w:val="center"/>
          </w:tcPr>
          <w:p w14:paraId="18B9806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具体内容</w:t>
            </w:r>
          </w:p>
        </w:tc>
      </w:tr>
      <w:tr w14:paraId="653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1A84B8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p>
        </w:tc>
        <w:tc>
          <w:tcPr>
            <w:tcW w:w="84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9339C5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参数信息维护</w:t>
            </w: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8970DA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用户账号维护</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55B29A4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应用系统用户账号新增/删除以及角色权限调整，如：新增账号、删除账号</w:t>
            </w:r>
          </w:p>
        </w:tc>
      </w:tr>
      <w:tr w14:paraId="43CB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85A870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1335133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DBE447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基础信息管理</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3A2EE16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应用系统基础信息新增、调整、删除等，如：新增收费员、删除收费员；在医院授权情况下执行，功能配置变更服务，如：项目设置、缴款渠道设置、参数配置、邮箱配置</w:t>
            </w:r>
          </w:p>
        </w:tc>
      </w:tr>
      <w:tr w14:paraId="4D76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1B88F9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p>
        </w:tc>
        <w:tc>
          <w:tcPr>
            <w:tcW w:w="84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5133788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操作指导及业务咨询</w:t>
            </w: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A02524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软件操作指导</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A4F355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向采购人提供应用系统软件操作咨询服务，如：业务系统对接、登录问题、票据作废、票据新增、申领票据、票据核销、数据查询、报表统计等</w:t>
            </w:r>
          </w:p>
        </w:tc>
      </w:tr>
      <w:tr w14:paraId="6E97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A65F8B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0135232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B05226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非税业务咨询</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0D2FF83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非税票据业务咨询、非税票据标准业务流程咨询、非税票据政策咨询、非税票据业务办理进度查询等</w:t>
            </w:r>
          </w:p>
        </w:tc>
      </w:tr>
      <w:tr w14:paraId="7832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59DE3B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0C22719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ECC3B6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票据业务咨询</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5888D81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票据业务咨询、票据标准业务流程咨询、票据政策咨询、票据业务办理进度查询等</w:t>
            </w:r>
          </w:p>
        </w:tc>
      </w:tr>
      <w:tr w14:paraId="0653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24544C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35D380F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58878E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单位业务咨询</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105277A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向采购人提供票据申领、申退、下发、审验等票据基础业务咨询服务</w:t>
            </w:r>
          </w:p>
        </w:tc>
      </w:tr>
      <w:tr w14:paraId="6B18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4884BE5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w:t>
            </w:r>
          </w:p>
        </w:tc>
        <w:tc>
          <w:tcPr>
            <w:tcW w:w="842" w:type="pct"/>
            <w:tcBorders>
              <w:tl2br w:val="nil"/>
              <w:tr2bl w:val="nil"/>
            </w:tcBorders>
            <w:noWrap w:val="0"/>
            <w:tcMar>
              <w:top w:w="20" w:type="dxa"/>
              <w:left w:w="20" w:type="dxa"/>
              <w:bottom w:w="72" w:type="dxa"/>
              <w:right w:w="20" w:type="dxa"/>
            </w:tcMar>
            <w:vAlign w:val="center"/>
          </w:tcPr>
          <w:p w14:paraId="766D54D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故障处理</w:t>
            </w:r>
          </w:p>
        </w:tc>
        <w:tc>
          <w:tcPr>
            <w:tcW w:w="1151" w:type="pct"/>
            <w:gridSpan w:val="2"/>
            <w:tcBorders>
              <w:tl2br w:val="nil"/>
              <w:tr2bl w:val="nil"/>
            </w:tcBorders>
            <w:noWrap w:val="0"/>
            <w:tcMar>
              <w:top w:w="20" w:type="dxa"/>
              <w:left w:w="20" w:type="dxa"/>
              <w:bottom w:w="72" w:type="dxa"/>
              <w:right w:w="20" w:type="dxa"/>
            </w:tcMar>
            <w:vAlign w:val="center"/>
          </w:tcPr>
          <w:p w14:paraId="514378C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故障处理</w:t>
            </w:r>
          </w:p>
        </w:tc>
        <w:tc>
          <w:tcPr>
            <w:tcW w:w="2434" w:type="pct"/>
            <w:tcBorders>
              <w:tl2br w:val="nil"/>
              <w:tr2bl w:val="nil"/>
            </w:tcBorders>
            <w:noWrap w:val="0"/>
            <w:tcMar>
              <w:top w:w="20" w:type="dxa"/>
              <w:left w:w="20" w:type="dxa"/>
              <w:bottom w:w="72" w:type="dxa"/>
              <w:right w:w="20" w:type="dxa"/>
            </w:tcMar>
            <w:vAlign w:val="center"/>
          </w:tcPr>
          <w:p w14:paraId="28839D8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产品功能异常造成的故障问题、由于性能或者稳定性不佳造成的产品使用过程中的故障问题、由于产品支撑环境异常问题造成的故障问题、与产品后端配置相关的故障问题、与第三方服务商相关的故障问题、故障表象为数据问题，需要数据修复的故障问题、误操作、操作不当、由于终端设备造成的故障问题、扫码无法取票、卡包推送延迟等</w:t>
            </w:r>
          </w:p>
        </w:tc>
      </w:tr>
      <w:tr w14:paraId="75E6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0A4CF9D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w:t>
            </w:r>
          </w:p>
        </w:tc>
        <w:tc>
          <w:tcPr>
            <w:tcW w:w="842" w:type="pct"/>
            <w:tcBorders>
              <w:tl2br w:val="nil"/>
              <w:tr2bl w:val="nil"/>
            </w:tcBorders>
            <w:noWrap w:val="0"/>
            <w:tcMar>
              <w:top w:w="20" w:type="dxa"/>
              <w:left w:w="20" w:type="dxa"/>
              <w:bottom w:w="72" w:type="dxa"/>
              <w:right w:w="20" w:type="dxa"/>
            </w:tcMar>
            <w:vAlign w:val="center"/>
          </w:tcPr>
          <w:p w14:paraId="1F34DFB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打印控件安装与调试</w:t>
            </w:r>
          </w:p>
        </w:tc>
        <w:tc>
          <w:tcPr>
            <w:tcW w:w="1151" w:type="pct"/>
            <w:gridSpan w:val="2"/>
            <w:tcBorders>
              <w:tl2br w:val="nil"/>
              <w:tr2bl w:val="nil"/>
            </w:tcBorders>
            <w:noWrap w:val="0"/>
            <w:tcMar>
              <w:top w:w="20" w:type="dxa"/>
              <w:left w:w="20" w:type="dxa"/>
              <w:bottom w:w="72" w:type="dxa"/>
              <w:right w:w="20" w:type="dxa"/>
            </w:tcMar>
            <w:vAlign w:val="center"/>
          </w:tcPr>
          <w:p w14:paraId="51B8B1F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打印控件安装与调试</w:t>
            </w:r>
          </w:p>
        </w:tc>
        <w:tc>
          <w:tcPr>
            <w:tcW w:w="2434" w:type="pct"/>
            <w:tcBorders>
              <w:tl2br w:val="nil"/>
              <w:tr2bl w:val="nil"/>
            </w:tcBorders>
            <w:noWrap w:val="0"/>
            <w:tcMar>
              <w:top w:w="20" w:type="dxa"/>
              <w:left w:w="20" w:type="dxa"/>
              <w:bottom w:w="72" w:type="dxa"/>
              <w:right w:w="20" w:type="dxa"/>
            </w:tcMar>
            <w:vAlign w:val="center"/>
          </w:tcPr>
          <w:p w14:paraId="7E2610E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提供应用系统所需的客户端控件安装调试服务，包括：打印控件安装与调试等；协助单位排查并解决由于打印机等外部设备问题而导致系统部分功能无法使用的问题；</w:t>
            </w:r>
          </w:p>
        </w:tc>
      </w:tr>
      <w:tr w14:paraId="5EED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3ACACDB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w:t>
            </w:r>
          </w:p>
        </w:tc>
        <w:tc>
          <w:tcPr>
            <w:tcW w:w="842" w:type="pct"/>
            <w:vMerge w:val="restart"/>
            <w:tcBorders>
              <w:tl2br w:val="nil"/>
              <w:tr2bl w:val="nil"/>
            </w:tcBorders>
            <w:noWrap w:val="0"/>
            <w:tcMar>
              <w:top w:w="20" w:type="dxa"/>
              <w:left w:w="20" w:type="dxa"/>
              <w:bottom w:w="72" w:type="dxa"/>
              <w:right w:w="20" w:type="dxa"/>
            </w:tcMar>
            <w:vAlign w:val="center"/>
          </w:tcPr>
          <w:p w14:paraId="122ED9B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数据处理服务</w:t>
            </w:r>
          </w:p>
        </w:tc>
        <w:tc>
          <w:tcPr>
            <w:tcW w:w="1151" w:type="pct"/>
            <w:gridSpan w:val="2"/>
            <w:tcBorders>
              <w:tl2br w:val="nil"/>
              <w:tr2bl w:val="nil"/>
            </w:tcBorders>
            <w:noWrap w:val="0"/>
            <w:tcMar>
              <w:top w:w="20" w:type="dxa"/>
              <w:left w:w="20" w:type="dxa"/>
              <w:bottom w:w="72" w:type="dxa"/>
              <w:right w:w="20" w:type="dxa"/>
            </w:tcMar>
            <w:vAlign w:val="center"/>
          </w:tcPr>
          <w:p w14:paraId="430F57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数据统计</w:t>
            </w:r>
          </w:p>
        </w:tc>
        <w:tc>
          <w:tcPr>
            <w:tcW w:w="2434" w:type="pct"/>
            <w:tcBorders>
              <w:tl2br w:val="nil"/>
              <w:tr2bl w:val="nil"/>
            </w:tcBorders>
            <w:noWrap w:val="0"/>
            <w:tcMar>
              <w:top w:w="20" w:type="dxa"/>
              <w:left w:w="20" w:type="dxa"/>
              <w:bottom w:w="72" w:type="dxa"/>
              <w:right w:w="20" w:type="dxa"/>
            </w:tcMar>
            <w:vAlign w:val="center"/>
          </w:tcPr>
          <w:p w14:paraId="03E69B1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根据采购人需要提供数据统计服务，含数据核对及导出</w:t>
            </w:r>
          </w:p>
        </w:tc>
      </w:tr>
      <w:tr w14:paraId="3190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B3DA9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FF33D0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1D314E8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数据备份</w:t>
            </w:r>
          </w:p>
        </w:tc>
        <w:tc>
          <w:tcPr>
            <w:tcW w:w="2434" w:type="pct"/>
            <w:tcBorders>
              <w:tl2br w:val="nil"/>
              <w:tr2bl w:val="nil"/>
            </w:tcBorders>
            <w:noWrap w:val="0"/>
            <w:tcMar>
              <w:top w:w="20" w:type="dxa"/>
              <w:left w:w="20" w:type="dxa"/>
              <w:bottom w:w="72" w:type="dxa"/>
              <w:right w:w="20" w:type="dxa"/>
            </w:tcMar>
            <w:vAlign w:val="center"/>
          </w:tcPr>
          <w:p w14:paraId="3D31131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根据采购人实际情况提供业务数据备份方案并实施执行</w:t>
            </w:r>
          </w:p>
        </w:tc>
      </w:tr>
      <w:tr w14:paraId="5330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2D575C3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16B382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39A0487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数据修复</w:t>
            </w:r>
          </w:p>
        </w:tc>
        <w:tc>
          <w:tcPr>
            <w:tcW w:w="2434" w:type="pct"/>
            <w:tcBorders>
              <w:tl2br w:val="nil"/>
              <w:tr2bl w:val="nil"/>
            </w:tcBorders>
            <w:noWrap w:val="0"/>
            <w:tcMar>
              <w:top w:w="20" w:type="dxa"/>
              <w:left w:w="20" w:type="dxa"/>
              <w:bottom w:w="72" w:type="dxa"/>
              <w:right w:w="20" w:type="dxa"/>
            </w:tcMar>
            <w:vAlign w:val="center"/>
          </w:tcPr>
          <w:p w14:paraId="23829BC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对采购人申报的因误操作、第三方异常等导致数据错误、遗漏等故障提供数据修复服务； 当出现系统误操作、硬件设备异常等情况下导致的数据异常、部分数据丢失等数据问题，提供数据修复服务，恢复正确的业务数据。</w:t>
            </w:r>
          </w:p>
        </w:tc>
      </w:tr>
      <w:tr w14:paraId="08ED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102EF6A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w:t>
            </w:r>
          </w:p>
        </w:tc>
        <w:tc>
          <w:tcPr>
            <w:tcW w:w="842" w:type="pct"/>
            <w:vMerge w:val="restart"/>
            <w:tcBorders>
              <w:tl2br w:val="nil"/>
              <w:tr2bl w:val="nil"/>
            </w:tcBorders>
            <w:noWrap w:val="0"/>
            <w:tcMar>
              <w:top w:w="20" w:type="dxa"/>
              <w:left w:w="20" w:type="dxa"/>
              <w:bottom w:w="72" w:type="dxa"/>
              <w:right w:w="20" w:type="dxa"/>
            </w:tcMar>
            <w:vAlign w:val="center"/>
          </w:tcPr>
          <w:p w14:paraId="7EE8C7B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安全运营服务</w:t>
            </w:r>
          </w:p>
        </w:tc>
        <w:tc>
          <w:tcPr>
            <w:tcW w:w="549" w:type="pct"/>
            <w:vMerge w:val="restart"/>
            <w:tcBorders>
              <w:tl2br w:val="nil"/>
              <w:tr2bl w:val="nil"/>
            </w:tcBorders>
            <w:noWrap w:val="0"/>
            <w:tcMar>
              <w:top w:w="20" w:type="dxa"/>
              <w:left w:w="20" w:type="dxa"/>
              <w:bottom w:w="72" w:type="dxa"/>
              <w:right w:w="20" w:type="dxa"/>
            </w:tcMar>
            <w:vAlign w:val="center"/>
          </w:tcPr>
          <w:p w14:paraId="676BC56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安全加固</w:t>
            </w:r>
          </w:p>
        </w:tc>
        <w:tc>
          <w:tcPr>
            <w:tcW w:w="601" w:type="pct"/>
            <w:tcBorders>
              <w:tl2br w:val="nil"/>
              <w:tr2bl w:val="nil"/>
            </w:tcBorders>
            <w:noWrap w:val="0"/>
            <w:tcMar>
              <w:top w:w="20" w:type="dxa"/>
              <w:left w:w="20" w:type="dxa"/>
              <w:bottom w:w="72" w:type="dxa"/>
              <w:right w:w="20" w:type="dxa"/>
            </w:tcMar>
            <w:vAlign w:val="center"/>
          </w:tcPr>
          <w:p w14:paraId="30B9F5A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平台漏洞</w:t>
            </w:r>
          </w:p>
        </w:tc>
        <w:tc>
          <w:tcPr>
            <w:tcW w:w="2434" w:type="pct"/>
            <w:vMerge w:val="restart"/>
            <w:tcBorders>
              <w:tl2br w:val="nil"/>
              <w:tr2bl w:val="nil"/>
            </w:tcBorders>
            <w:noWrap w:val="0"/>
            <w:tcMar>
              <w:top w:w="20" w:type="dxa"/>
              <w:left w:w="20" w:type="dxa"/>
              <w:bottom w:w="72" w:type="dxa"/>
              <w:right w:w="20" w:type="dxa"/>
            </w:tcMar>
            <w:vAlign w:val="center"/>
          </w:tcPr>
          <w:p w14:paraId="0F4DB01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根据被发现的或新的安全管理要求对系统资源和应用相关的安全策略和程序设计缺陷漏洞进行整改加固； 针对采购人环境安全情况，给出优化建议并执行，提升安全性</w:t>
            </w:r>
          </w:p>
        </w:tc>
      </w:tr>
      <w:tr w14:paraId="28E5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281AF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B0A21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549" w:type="pct"/>
            <w:vMerge w:val="continue"/>
            <w:tcBorders>
              <w:tl2br w:val="nil"/>
              <w:tr2bl w:val="nil"/>
            </w:tcBorders>
            <w:noWrap w:val="0"/>
            <w:tcMar>
              <w:top w:w="20" w:type="dxa"/>
              <w:left w:w="20" w:type="dxa"/>
              <w:bottom w:w="72" w:type="dxa"/>
              <w:right w:w="20" w:type="dxa"/>
            </w:tcMar>
            <w:vAlign w:val="center"/>
          </w:tcPr>
          <w:p w14:paraId="37B22B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601" w:type="pct"/>
            <w:tcBorders>
              <w:tl2br w:val="nil"/>
              <w:tr2bl w:val="nil"/>
            </w:tcBorders>
            <w:noWrap w:val="0"/>
            <w:tcMar>
              <w:top w:w="20" w:type="dxa"/>
              <w:left w:w="20" w:type="dxa"/>
              <w:bottom w:w="72" w:type="dxa"/>
              <w:right w:w="20" w:type="dxa"/>
            </w:tcMar>
            <w:vAlign w:val="center"/>
          </w:tcPr>
          <w:p w14:paraId="4AC66C1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产品漏洞</w:t>
            </w:r>
          </w:p>
        </w:tc>
        <w:tc>
          <w:tcPr>
            <w:tcW w:w="2434" w:type="pct"/>
            <w:vMerge w:val="continue"/>
            <w:tcBorders>
              <w:tl2br w:val="nil"/>
              <w:tr2bl w:val="nil"/>
            </w:tcBorders>
            <w:noWrap w:val="0"/>
            <w:tcMar>
              <w:top w:w="20" w:type="dxa"/>
              <w:left w:w="20" w:type="dxa"/>
              <w:bottom w:w="72" w:type="dxa"/>
              <w:right w:w="20" w:type="dxa"/>
            </w:tcMar>
            <w:vAlign w:val="center"/>
          </w:tcPr>
          <w:p w14:paraId="3CE36E9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1E3F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A40D6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644CB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09BD5CC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风险评估</w:t>
            </w:r>
          </w:p>
        </w:tc>
        <w:tc>
          <w:tcPr>
            <w:tcW w:w="2434" w:type="pct"/>
            <w:tcBorders>
              <w:tl2br w:val="nil"/>
              <w:tr2bl w:val="nil"/>
            </w:tcBorders>
            <w:noWrap w:val="0"/>
            <w:tcMar>
              <w:top w:w="20" w:type="dxa"/>
              <w:left w:w="20" w:type="dxa"/>
              <w:bottom w:w="72" w:type="dxa"/>
              <w:right w:w="20" w:type="dxa"/>
            </w:tcMar>
            <w:vAlign w:val="center"/>
          </w:tcPr>
          <w:p w14:paraId="7D7B8F2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对新暴露出的网络系统安全问题或业务扩展新增功能进行安全风险评估</w:t>
            </w:r>
          </w:p>
        </w:tc>
      </w:tr>
      <w:tr w14:paraId="7A49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C547A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226C8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57883C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配合攻防演练</w:t>
            </w:r>
          </w:p>
        </w:tc>
        <w:tc>
          <w:tcPr>
            <w:tcW w:w="2434" w:type="pct"/>
            <w:tcBorders>
              <w:tl2br w:val="nil"/>
              <w:tr2bl w:val="nil"/>
            </w:tcBorders>
            <w:noWrap w:val="0"/>
            <w:tcMar>
              <w:top w:w="20" w:type="dxa"/>
              <w:left w:w="20" w:type="dxa"/>
              <w:bottom w:w="72" w:type="dxa"/>
              <w:right w:w="20" w:type="dxa"/>
            </w:tcMar>
            <w:vAlign w:val="center"/>
          </w:tcPr>
          <w:p w14:paraId="0A7E472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针对采购人需求组织的攻防演练专项工作，配合采购人进行两轮演练：攻防预演练和攻防演练，在演练完成后针对演练过程所存在的问题进行分析总结，优化基础环境和各方系统</w:t>
            </w:r>
          </w:p>
        </w:tc>
      </w:tr>
      <w:tr w14:paraId="0579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6C58A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37AA79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3F92C87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配合应急演练</w:t>
            </w:r>
          </w:p>
        </w:tc>
        <w:tc>
          <w:tcPr>
            <w:tcW w:w="2434" w:type="pct"/>
            <w:tcBorders>
              <w:tl2br w:val="nil"/>
              <w:tr2bl w:val="nil"/>
            </w:tcBorders>
            <w:noWrap w:val="0"/>
            <w:tcMar>
              <w:top w:w="20" w:type="dxa"/>
              <w:left w:w="20" w:type="dxa"/>
              <w:bottom w:w="72" w:type="dxa"/>
              <w:right w:w="20" w:type="dxa"/>
            </w:tcMar>
            <w:vAlign w:val="center"/>
          </w:tcPr>
          <w:p w14:paraId="3AE4508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根据采购人自身需求，配合采购人制定演练方案并协助采购人组织相关方针对各类重大故障和事故事件进行应急演练，在演练完成后针对演练过程所存在的问题进行分析总结，优化基础环境和各方系统</w:t>
            </w:r>
          </w:p>
        </w:tc>
      </w:tr>
      <w:tr w14:paraId="2E4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22521C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4191D4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025EBD2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安全重保</w:t>
            </w:r>
          </w:p>
        </w:tc>
        <w:tc>
          <w:tcPr>
            <w:tcW w:w="2434" w:type="pct"/>
            <w:tcBorders>
              <w:tl2br w:val="nil"/>
              <w:tr2bl w:val="nil"/>
            </w:tcBorders>
            <w:noWrap w:val="0"/>
            <w:tcMar>
              <w:top w:w="20" w:type="dxa"/>
              <w:left w:w="20" w:type="dxa"/>
              <w:bottom w:w="72" w:type="dxa"/>
              <w:right w:w="20" w:type="dxa"/>
            </w:tcMar>
            <w:vAlign w:val="center"/>
          </w:tcPr>
          <w:p w14:paraId="6F08EC5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积极响应重保要求，重保期间安排无息值班和加强系统巡检检查工作</w:t>
            </w:r>
          </w:p>
        </w:tc>
      </w:tr>
      <w:tr w14:paraId="341C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4505A2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E3FE8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48312A1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等保事宜</w:t>
            </w:r>
          </w:p>
        </w:tc>
        <w:tc>
          <w:tcPr>
            <w:tcW w:w="2434" w:type="pct"/>
            <w:tcBorders>
              <w:tl2br w:val="nil"/>
              <w:tr2bl w:val="nil"/>
            </w:tcBorders>
            <w:noWrap w:val="0"/>
            <w:tcMar>
              <w:top w:w="20" w:type="dxa"/>
              <w:left w:w="20" w:type="dxa"/>
              <w:bottom w:w="72" w:type="dxa"/>
              <w:right w:w="20" w:type="dxa"/>
            </w:tcMar>
            <w:vAlign w:val="center"/>
          </w:tcPr>
          <w:p w14:paraId="2A4CB37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通过对目标系统在安全技术及管理方面的测评，对目标系统的安全技术状态及安全管理状况做出初步判断，给出目标系统在安全技术及安全管理方面与其相应安全等级保护要求之间的差距，以进一步完善系统安全策略及安全技术防护措施。</w:t>
            </w:r>
          </w:p>
        </w:tc>
      </w:tr>
      <w:tr w14:paraId="4816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602A942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w:t>
            </w:r>
          </w:p>
        </w:tc>
        <w:tc>
          <w:tcPr>
            <w:tcW w:w="842" w:type="pct"/>
            <w:tcBorders>
              <w:tl2br w:val="nil"/>
              <w:tr2bl w:val="nil"/>
            </w:tcBorders>
            <w:noWrap w:val="0"/>
            <w:tcMar>
              <w:top w:w="20" w:type="dxa"/>
              <w:left w:w="20" w:type="dxa"/>
              <w:bottom w:w="72" w:type="dxa"/>
              <w:right w:w="20" w:type="dxa"/>
            </w:tcMar>
            <w:vAlign w:val="center"/>
          </w:tcPr>
          <w:p w14:paraId="3BF031B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运营分析服务</w:t>
            </w:r>
          </w:p>
        </w:tc>
        <w:tc>
          <w:tcPr>
            <w:tcW w:w="1151" w:type="pct"/>
            <w:gridSpan w:val="2"/>
            <w:tcBorders>
              <w:tl2br w:val="nil"/>
              <w:tr2bl w:val="nil"/>
            </w:tcBorders>
            <w:noWrap w:val="0"/>
            <w:tcMar>
              <w:top w:w="20" w:type="dxa"/>
              <w:left w:w="20" w:type="dxa"/>
              <w:bottom w:w="72" w:type="dxa"/>
              <w:right w:w="20" w:type="dxa"/>
            </w:tcMar>
            <w:vAlign w:val="center"/>
          </w:tcPr>
          <w:p w14:paraId="7A3BF2B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巡检报告</w:t>
            </w:r>
          </w:p>
        </w:tc>
        <w:tc>
          <w:tcPr>
            <w:tcW w:w="2434" w:type="pct"/>
            <w:tcBorders>
              <w:tl2br w:val="nil"/>
              <w:tr2bl w:val="nil"/>
            </w:tcBorders>
            <w:noWrap w:val="0"/>
            <w:tcMar>
              <w:top w:w="20" w:type="dxa"/>
              <w:left w:w="20" w:type="dxa"/>
              <w:bottom w:w="72" w:type="dxa"/>
              <w:right w:w="20" w:type="dxa"/>
            </w:tcMar>
            <w:vAlign w:val="center"/>
          </w:tcPr>
          <w:p w14:paraId="141FDEC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巡检服务后，向采购人提供巡检报告</w:t>
            </w:r>
          </w:p>
        </w:tc>
      </w:tr>
      <w:tr w14:paraId="4A63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6BED170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8</w:t>
            </w:r>
          </w:p>
        </w:tc>
        <w:tc>
          <w:tcPr>
            <w:tcW w:w="842" w:type="pct"/>
            <w:vMerge w:val="restart"/>
            <w:tcBorders>
              <w:tl2br w:val="nil"/>
              <w:tr2bl w:val="nil"/>
            </w:tcBorders>
            <w:noWrap w:val="0"/>
            <w:tcMar>
              <w:top w:w="20" w:type="dxa"/>
              <w:left w:w="20" w:type="dxa"/>
              <w:bottom w:w="72" w:type="dxa"/>
              <w:right w:w="20" w:type="dxa"/>
            </w:tcMar>
            <w:vAlign w:val="center"/>
          </w:tcPr>
          <w:p w14:paraId="26CFE70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性能调优</w:t>
            </w:r>
          </w:p>
        </w:tc>
        <w:tc>
          <w:tcPr>
            <w:tcW w:w="1151" w:type="pct"/>
            <w:gridSpan w:val="2"/>
            <w:tcBorders>
              <w:tl2br w:val="nil"/>
              <w:tr2bl w:val="nil"/>
            </w:tcBorders>
            <w:noWrap w:val="0"/>
            <w:tcMar>
              <w:top w:w="20" w:type="dxa"/>
              <w:left w:w="20" w:type="dxa"/>
              <w:bottom w:w="72" w:type="dxa"/>
              <w:right w:w="20" w:type="dxa"/>
            </w:tcMar>
            <w:vAlign w:val="center"/>
          </w:tcPr>
          <w:p w14:paraId="4362FCA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数据调优</w:t>
            </w:r>
          </w:p>
        </w:tc>
        <w:tc>
          <w:tcPr>
            <w:tcW w:w="2434" w:type="pct"/>
            <w:vMerge w:val="restart"/>
            <w:tcBorders>
              <w:tl2br w:val="nil"/>
              <w:tr2bl w:val="nil"/>
            </w:tcBorders>
            <w:noWrap w:val="0"/>
            <w:tcMar>
              <w:top w:w="20" w:type="dxa"/>
              <w:left w:w="20" w:type="dxa"/>
              <w:bottom w:w="72" w:type="dxa"/>
              <w:right w:w="20" w:type="dxa"/>
            </w:tcMar>
            <w:vAlign w:val="center"/>
          </w:tcPr>
          <w:p w14:paraId="60DD64A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针对采购人当前应用系统及其基础相关的基础软件（操作系统、中间件、数据库等）运行情况，给出优化建议并实施，提升性能</w:t>
            </w:r>
          </w:p>
        </w:tc>
      </w:tr>
      <w:tr w14:paraId="696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32DF82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61E8D4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7F1DEB1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应用调优</w:t>
            </w:r>
          </w:p>
        </w:tc>
        <w:tc>
          <w:tcPr>
            <w:tcW w:w="2434" w:type="pct"/>
            <w:vMerge w:val="continue"/>
            <w:tcBorders>
              <w:tl2br w:val="nil"/>
              <w:tr2bl w:val="nil"/>
            </w:tcBorders>
            <w:noWrap w:val="0"/>
            <w:tcMar>
              <w:top w:w="20" w:type="dxa"/>
              <w:left w:w="20" w:type="dxa"/>
              <w:bottom w:w="72" w:type="dxa"/>
              <w:right w:w="20" w:type="dxa"/>
            </w:tcMar>
            <w:vAlign w:val="center"/>
          </w:tcPr>
          <w:p w14:paraId="0BF7939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6471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7A846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7EBBA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54923C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数据及应用调优</w:t>
            </w:r>
          </w:p>
        </w:tc>
        <w:tc>
          <w:tcPr>
            <w:tcW w:w="2434" w:type="pct"/>
            <w:vMerge w:val="continue"/>
            <w:tcBorders>
              <w:tl2br w:val="nil"/>
              <w:tr2bl w:val="nil"/>
            </w:tcBorders>
            <w:noWrap w:val="0"/>
            <w:tcMar>
              <w:top w:w="20" w:type="dxa"/>
              <w:left w:w="20" w:type="dxa"/>
              <w:bottom w:w="72" w:type="dxa"/>
              <w:right w:w="20" w:type="dxa"/>
            </w:tcMar>
            <w:vAlign w:val="center"/>
          </w:tcPr>
          <w:p w14:paraId="11421A2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42DB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424C32C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9</w:t>
            </w:r>
          </w:p>
        </w:tc>
        <w:tc>
          <w:tcPr>
            <w:tcW w:w="842" w:type="pct"/>
            <w:tcBorders>
              <w:tl2br w:val="nil"/>
              <w:tr2bl w:val="nil"/>
            </w:tcBorders>
            <w:noWrap w:val="0"/>
            <w:tcMar>
              <w:top w:w="20" w:type="dxa"/>
              <w:left w:w="20" w:type="dxa"/>
              <w:bottom w:w="72" w:type="dxa"/>
              <w:right w:w="20" w:type="dxa"/>
            </w:tcMar>
            <w:vAlign w:val="center"/>
          </w:tcPr>
          <w:p w14:paraId="1F3486E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外部接口联调</w:t>
            </w:r>
          </w:p>
        </w:tc>
        <w:tc>
          <w:tcPr>
            <w:tcW w:w="1151" w:type="pct"/>
            <w:gridSpan w:val="2"/>
            <w:tcBorders>
              <w:tl2br w:val="nil"/>
              <w:tr2bl w:val="nil"/>
            </w:tcBorders>
            <w:noWrap w:val="0"/>
            <w:tcMar>
              <w:top w:w="20" w:type="dxa"/>
              <w:left w:w="20" w:type="dxa"/>
              <w:bottom w:w="72" w:type="dxa"/>
              <w:right w:w="20" w:type="dxa"/>
            </w:tcMar>
            <w:vAlign w:val="center"/>
          </w:tcPr>
          <w:p w14:paraId="42C643A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外部接口联调</w:t>
            </w:r>
          </w:p>
        </w:tc>
        <w:tc>
          <w:tcPr>
            <w:tcW w:w="2434" w:type="pct"/>
            <w:tcBorders>
              <w:tl2br w:val="nil"/>
              <w:tr2bl w:val="nil"/>
            </w:tcBorders>
            <w:noWrap w:val="0"/>
            <w:tcMar>
              <w:top w:w="20" w:type="dxa"/>
              <w:left w:w="20" w:type="dxa"/>
              <w:bottom w:w="72" w:type="dxa"/>
              <w:right w:w="20" w:type="dxa"/>
            </w:tcMar>
            <w:vAlign w:val="center"/>
          </w:tcPr>
          <w:p w14:paraId="6CF682A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HIS 联调测试、采购人第三方厂商联调测试（CA、短信、邮件等） 采购人因业务拓展、第三方厂家变更等情况出现，向其提供接口调试服务</w:t>
            </w:r>
          </w:p>
        </w:tc>
      </w:tr>
      <w:tr w14:paraId="7B06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7BBF5F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10</w:t>
            </w:r>
          </w:p>
        </w:tc>
        <w:tc>
          <w:tcPr>
            <w:tcW w:w="842" w:type="pct"/>
            <w:tcBorders>
              <w:tl2br w:val="nil"/>
              <w:tr2bl w:val="nil"/>
            </w:tcBorders>
            <w:noWrap w:val="0"/>
            <w:tcMar>
              <w:top w:w="20" w:type="dxa"/>
              <w:left w:w="20" w:type="dxa"/>
              <w:bottom w:w="72" w:type="dxa"/>
              <w:right w:w="20" w:type="dxa"/>
            </w:tcMar>
            <w:vAlign w:val="center"/>
          </w:tcPr>
          <w:p w14:paraId="55ACD04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对账服务</w:t>
            </w:r>
          </w:p>
        </w:tc>
        <w:tc>
          <w:tcPr>
            <w:tcW w:w="1151" w:type="pct"/>
            <w:gridSpan w:val="2"/>
            <w:tcBorders>
              <w:tl2br w:val="nil"/>
              <w:tr2bl w:val="nil"/>
            </w:tcBorders>
            <w:noWrap w:val="0"/>
            <w:tcMar>
              <w:top w:w="20" w:type="dxa"/>
              <w:left w:w="20" w:type="dxa"/>
              <w:bottom w:w="72" w:type="dxa"/>
              <w:right w:w="20" w:type="dxa"/>
            </w:tcMar>
            <w:vAlign w:val="center"/>
          </w:tcPr>
          <w:p w14:paraId="7755ABE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票据对账</w:t>
            </w:r>
          </w:p>
        </w:tc>
        <w:tc>
          <w:tcPr>
            <w:tcW w:w="2434" w:type="pct"/>
            <w:tcBorders>
              <w:tl2br w:val="nil"/>
              <w:tr2bl w:val="nil"/>
            </w:tcBorders>
            <w:noWrap w:val="0"/>
            <w:tcMar>
              <w:top w:w="20" w:type="dxa"/>
              <w:left w:w="20" w:type="dxa"/>
              <w:bottom w:w="72" w:type="dxa"/>
              <w:right w:w="20" w:type="dxa"/>
            </w:tcMar>
            <w:vAlign w:val="center"/>
          </w:tcPr>
          <w:p w14:paraId="308A80F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单位系统对账：按业务类型、缴费渠道、电子凭证类型、收支类型等多种维护，与单位业务系统进行票据数据核对；</w:t>
            </w:r>
          </w:p>
          <w:p w14:paraId="424D154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针对在日常对账过程所出现的问题进行总结分析，协助相关系统厂商进行改造优化，避免对账问题影响核销业务；</w:t>
            </w:r>
          </w:p>
        </w:tc>
      </w:tr>
      <w:tr w14:paraId="1500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4D41DCD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11</w:t>
            </w:r>
          </w:p>
        </w:tc>
        <w:tc>
          <w:tcPr>
            <w:tcW w:w="842" w:type="pct"/>
            <w:vMerge w:val="restart"/>
            <w:tcBorders>
              <w:tl2br w:val="nil"/>
              <w:tr2bl w:val="nil"/>
            </w:tcBorders>
            <w:noWrap w:val="0"/>
            <w:tcMar>
              <w:top w:w="20" w:type="dxa"/>
              <w:left w:w="20" w:type="dxa"/>
              <w:bottom w:w="72" w:type="dxa"/>
              <w:right w:w="20" w:type="dxa"/>
            </w:tcMar>
            <w:vAlign w:val="center"/>
          </w:tcPr>
          <w:p w14:paraId="37ADC86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系统管理</w:t>
            </w:r>
          </w:p>
        </w:tc>
        <w:tc>
          <w:tcPr>
            <w:tcW w:w="1151" w:type="pct"/>
            <w:gridSpan w:val="2"/>
            <w:tcBorders>
              <w:tl2br w:val="nil"/>
              <w:tr2bl w:val="nil"/>
            </w:tcBorders>
            <w:noWrap w:val="0"/>
            <w:tcMar>
              <w:top w:w="20" w:type="dxa"/>
              <w:left w:w="20" w:type="dxa"/>
              <w:bottom w:w="72" w:type="dxa"/>
              <w:right w:w="20" w:type="dxa"/>
            </w:tcMar>
            <w:vAlign w:val="center"/>
          </w:tcPr>
          <w:p w14:paraId="45FE80D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票据模板更新</w:t>
            </w:r>
          </w:p>
        </w:tc>
        <w:tc>
          <w:tcPr>
            <w:tcW w:w="2434" w:type="pct"/>
            <w:tcBorders>
              <w:tl2br w:val="nil"/>
              <w:tr2bl w:val="nil"/>
            </w:tcBorders>
            <w:noWrap w:val="0"/>
            <w:tcMar>
              <w:top w:w="20" w:type="dxa"/>
              <w:left w:w="20" w:type="dxa"/>
              <w:bottom w:w="72" w:type="dxa"/>
              <w:right w:w="20" w:type="dxa"/>
            </w:tcMar>
            <w:vAlign w:val="center"/>
          </w:tcPr>
          <w:p w14:paraId="7D1507F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票据模板需求交付后，对采购人票据模板进行更新</w:t>
            </w:r>
          </w:p>
        </w:tc>
      </w:tr>
      <w:tr w14:paraId="361F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5C5A93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6838BC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4D70C54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基础信息管理</w:t>
            </w:r>
          </w:p>
        </w:tc>
        <w:tc>
          <w:tcPr>
            <w:tcW w:w="2434" w:type="pct"/>
            <w:tcBorders>
              <w:tl2br w:val="nil"/>
              <w:tr2bl w:val="nil"/>
            </w:tcBorders>
            <w:noWrap w:val="0"/>
            <w:tcMar>
              <w:top w:w="20" w:type="dxa"/>
              <w:left w:w="20" w:type="dxa"/>
              <w:bottom w:w="72" w:type="dxa"/>
              <w:right w:w="20" w:type="dxa"/>
            </w:tcMar>
            <w:vAlign w:val="center"/>
          </w:tcPr>
          <w:p w14:paraId="000EC53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在采购人授权情况下执行，应用系统基础信息新增、调整、删除等，如：新增单位、删除单位；在采购人授权情况下执行，功能配置变更服务，如：项目设置、缴款渠道设置、参数配置、邮箱配置、短信配置</w:t>
            </w:r>
          </w:p>
        </w:tc>
      </w:tr>
      <w:tr w14:paraId="0448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50C2582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w:t>
            </w:r>
          </w:p>
        </w:tc>
        <w:tc>
          <w:tcPr>
            <w:tcW w:w="842" w:type="pct"/>
            <w:vMerge w:val="restart"/>
            <w:tcBorders>
              <w:tl2br w:val="nil"/>
              <w:tr2bl w:val="nil"/>
            </w:tcBorders>
            <w:noWrap w:val="0"/>
            <w:tcMar>
              <w:top w:w="20" w:type="dxa"/>
              <w:left w:w="20" w:type="dxa"/>
              <w:bottom w:w="72" w:type="dxa"/>
              <w:right w:w="20" w:type="dxa"/>
            </w:tcMar>
            <w:vAlign w:val="center"/>
          </w:tcPr>
          <w:p w14:paraId="4C7C900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运行维护</w:t>
            </w:r>
          </w:p>
        </w:tc>
        <w:tc>
          <w:tcPr>
            <w:tcW w:w="1151" w:type="pct"/>
            <w:gridSpan w:val="2"/>
            <w:tcBorders>
              <w:tl2br w:val="nil"/>
              <w:tr2bl w:val="nil"/>
            </w:tcBorders>
            <w:noWrap w:val="0"/>
            <w:tcMar>
              <w:top w:w="20" w:type="dxa"/>
              <w:left w:w="20" w:type="dxa"/>
              <w:bottom w:w="72" w:type="dxa"/>
              <w:right w:w="20" w:type="dxa"/>
            </w:tcMar>
            <w:vAlign w:val="center"/>
          </w:tcPr>
          <w:p w14:paraId="0B5347B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性能测试及容量评估</w:t>
            </w:r>
          </w:p>
        </w:tc>
        <w:tc>
          <w:tcPr>
            <w:tcW w:w="2434" w:type="pct"/>
            <w:tcBorders>
              <w:tl2br w:val="nil"/>
              <w:tr2bl w:val="nil"/>
            </w:tcBorders>
            <w:noWrap w:val="0"/>
            <w:tcMar>
              <w:top w:w="20" w:type="dxa"/>
              <w:left w:w="20" w:type="dxa"/>
              <w:bottom w:w="72" w:type="dxa"/>
              <w:right w:w="20" w:type="dxa"/>
            </w:tcMar>
            <w:vAlign w:val="center"/>
          </w:tcPr>
          <w:p w14:paraId="35165CD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随着业务扩展、采购人新增对系统进行性能测试、资源申请前测试，测试完成后对容量进行评估 资源评估：针对采购人业务推广时期，应提供应用系统软硬件资源评估服务，并出具评估结果和建议</w:t>
            </w:r>
          </w:p>
        </w:tc>
      </w:tr>
      <w:tr w14:paraId="78F8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02F9266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1846D4A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26F2E11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编制技术方案</w:t>
            </w:r>
          </w:p>
        </w:tc>
        <w:tc>
          <w:tcPr>
            <w:tcW w:w="2434" w:type="pct"/>
            <w:tcBorders>
              <w:tl2br w:val="nil"/>
              <w:tr2bl w:val="nil"/>
            </w:tcBorders>
            <w:noWrap w:val="0"/>
            <w:tcMar>
              <w:top w:w="20" w:type="dxa"/>
              <w:left w:w="20" w:type="dxa"/>
              <w:bottom w:w="72" w:type="dxa"/>
              <w:right w:w="20" w:type="dxa"/>
            </w:tcMar>
            <w:vAlign w:val="center"/>
          </w:tcPr>
          <w:p w14:paraId="0514944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根据采购人需要，为采购人提供相关技术方案</w:t>
            </w:r>
          </w:p>
        </w:tc>
      </w:tr>
      <w:tr w14:paraId="0A1F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258C9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060BB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1A4C462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基础环境保障</w:t>
            </w:r>
          </w:p>
        </w:tc>
        <w:tc>
          <w:tcPr>
            <w:tcW w:w="2434" w:type="pct"/>
            <w:tcBorders>
              <w:tl2br w:val="nil"/>
              <w:tr2bl w:val="nil"/>
            </w:tcBorders>
            <w:noWrap w:val="0"/>
            <w:tcMar>
              <w:top w:w="20" w:type="dxa"/>
              <w:left w:w="20" w:type="dxa"/>
              <w:bottom w:w="72" w:type="dxa"/>
              <w:right w:w="20" w:type="dxa"/>
            </w:tcMar>
            <w:vAlign w:val="center"/>
          </w:tcPr>
          <w:p w14:paraId="0A8F873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平台运维基础环境类事宜，包括基础环境、硬件、网络、基础软件等。</w:t>
            </w:r>
          </w:p>
        </w:tc>
      </w:tr>
      <w:tr w14:paraId="4710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0CBF30E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13</w:t>
            </w:r>
          </w:p>
        </w:tc>
        <w:tc>
          <w:tcPr>
            <w:tcW w:w="842" w:type="pct"/>
            <w:vMerge w:val="restart"/>
            <w:tcBorders>
              <w:tl2br w:val="nil"/>
              <w:tr2bl w:val="nil"/>
            </w:tcBorders>
            <w:noWrap w:val="0"/>
            <w:tcMar>
              <w:top w:w="20" w:type="dxa"/>
              <w:left w:w="20" w:type="dxa"/>
              <w:bottom w:w="72" w:type="dxa"/>
              <w:right w:w="20" w:type="dxa"/>
            </w:tcMar>
            <w:vAlign w:val="center"/>
          </w:tcPr>
          <w:p w14:paraId="1F2F3CD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培训服务</w:t>
            </w:r>
          </w:p>
        </w:tc>
        <w:tc>
          <w:tcPr>
            <w:tcW w:w="1151" w:type="pct"/>
            <w:gridSpan w:val="2"/>
            <w:tcBorders>
              <w:tl2br w:val="nil"/>
              <w:tr2bl w:val="nil"/>
            </w:tcBorders>
            <w:noWrap w:val="0"/>
            <w:tcMar>
              <w:top w:w="20" w:type="dxa"/>
              <w:left w:w="20" w:type="dxa"/>
              <w:bottom w:w="72" w:type="dxa"/>
              <w:right w:w="20" w:type="dxa"/>
            </w:tcMar>
            <w:vAlign w:val="center"/>
          </w:tcPr>
          <w:p w14:paraId="3F9A79E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新功能培训</w:t>
            </w:r>
          </w:p>
        </w:tc>
        <w:tc>
          <w:tcPr>
            <w:tcW w:w="2434" w:type="pct"/>
            <w:tcBorders>
              <w:tl2br w:val="nil"/>
              <w:tr2bl w:val="nil"/>
            </w:tcBorders>
            <w:noWrap w:val="0"/>
            <w:tcMar>
              <w:top w:w="20" w:type="dxa"/>
              <w:left w:w="20" w:type="dxa"/>
              <w:bottom w:w="72" w:type="dxa"/>
              <w:right w:w="20" w:type="dxa"/>
            </w:tcMar>
            <w:vAlign w:val="center"/>
          </w:tcPr>
          <w:p w14:paraId="648A2DE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系统功能上线前培训/对系统功能调整、新功能需求设计的演示</w:t>
            </w:r>
          </w:p>
        </w:tc>
      </w:tr>
      <w:tr w14:paraId="7456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5D837E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E8208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600E6F1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定期操作培训</w:t>
            </w:r>
          </w:p>
        </w:tc>
        <w:tc>
          <w:tcPr>
            <w:tcW w:w="2434" w:type="pct"/>
            <w:tcBorders>
              <w:tl2br w:val="nil"/>
              <w:tr2bl w:val="nil"/>
            </w:tcBorders>
            <w:noWrap w:val="0"/>
            <w:tcMar>
              <w:top w:w="20" w:type="dxa"/>
              <w:left w:w="20" w:type="dxa"/>
              <w:bottom w:w="72" w:type="dxa"/>
              <w:right w:w="20" w:type="dxa"/>
            </w:tcMar>
            <w:vAlign w:val="center"/>
          </w:tcPr>
          <w:p w14:paraId="7A95FA0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常态化系统操作培训/定期组织不同形式的用户培训服务</w:t>
            </w:r>
          </w:p>
        </w:tc>
      </w:tr>
      <w:tr w14:paraId="6EA1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759F937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14</w:t>
            </w:r>
          </w:p>
        </w:tc>
        <w:tc>
          <w:tcPr>
            <w:tcW w:w="842" w:type="pct"/>
            <w:vMerge w:val="restart"/>
            <w:tcBorders>
              <w:tl2br w:val="nil"/>
              <w:tr2bl w:val="nil"/>
            </w:tcBorders>
            <w:noWrap w:val="0"/>
            <w:tcMar>
              <w:top w:w="20" w:type="dxa"/>
              <w:left w:w="20" w:type="dxa"/>
              <w:bottom w:w="72" w:type="dxa"/>
              <w:right w:w="20" w:type="dxa"/>
            </w:tcMar>
            <w:vAlign w:val="center"/>
          </w:tcPr>
          <w:p w14:paraId="3491A10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年结服务</w:t>
            </w:r>
          </w:p>
        </w:tc>
        <w:tc>
          <w:tcPr>
            <w:tcW w:w="1151" w:type="pct"/>
            <w:gridSpan w:val="2"/>
            <w:tcBorders>
              <w:tl2br w:val="nil"/>
              <w:tr2bl w:val="nil"/>
            </w:tcBorders>
            <w:noWrap w:val="0"/>
            <w:tcMar>
              <w:top w:w="20" w:type="dxa"/>
              <w:left w:w="20" w:type="dxa"/>
              <w:bottom w:w="72" w:type="dxa"/>
              <w:right w:w="20" w:type="dxa"/>
            </w:tcMar>
            <w:vAlign w:val="center"/>
          </w:tcPr>
          <w:p w14:paraId="0B0CBB9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票据年结</w:t>
            </w:r>
          </w:p>
        </w:tc>
        <w:tc>
          <w:tcPr>
            <w:tcW w:w="2434" w:type="pct"/>
            <w:tcBorders>
              <w:tl2br w:val="nil"/>
              <w:tr2bl w:val="nil"/>
            </w:tcBorders>
            <w:noWrap w:val="0"/>
            <w:tcMar>
              <w:top w:w="20" w:type="dxa"/>
              <w:left w:w="20" w:type="dxa"/>
              <w:bottom w:w="72" w:type="dxa"/>
              <w:right w:w="20" w:type="dxa"/>
            </w:tcMar>
            <w:vAlign w:val="center"/>
          </w:tcPr>
          <w:p w14:paraId="352C2F8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完成新年度票种及模版增加 </w:t>
            </w:r>
          </w:p>
          <w:p w14:paraId="1A2BD98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旧票回收新票发放</w:t>
            </w:r>
          </w:p>
        </w:tc>
      </w:tr>
      <w:tr w14:paraId="2307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40011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48F429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51D4DBD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非税年结</w:t>
            </w:r>
          </w:p>
        </w:tc>
        <w:tc>
          <w:tcPr>
            <w:tcW w:w="2434" w:type="pct"/>
            <w:tcBorders>
              <w:tl2br w:val="nil"/>
              <w:tr2bl w:val="nil"/>
            </w:tcBorders>
            <w:noWrap w:val="0"/>
            <w:tcMar>
              <w:top w:w="20" w:type="dxa"/>
              <w:left w:w="20" w:type="dxa"/>
              <w:bottom w:w="72" w:type="dxa"/>
              <w:right w:w="20" w:type="dxa"/>
            </w:tcMar>
            <w:vAlign w:val="center"/>
          </w:tcPr>
          <w:p w14:paraId="0761994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处理新年度预算科目核对导入、调库等业务</w:t>
            </w:r>
          </w:p>
        </w:tc>
      </w:tr>
      <w:tr w14:paraId="54E5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FC982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04915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68AC0A0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业务年结</w:t>
            </w:r>
          </w:p>
        </w:tc>
        <w:tc>
          <w:tcPr>
            <w:tcW w:w="2434" w:type="pct"/>
            <w:tcBorders>
              <w:tl2br w:val="nil"/>
              <w:tr2bl w:val="nil"/>
            </w:tcBorders>
            <w:noWrap w:val="0"/>
            <w:tcMar>
              <w:top w:w="20" w:type="dxa"/>
              <w:left w:w="20" w:type="dxa"/>
              <w:bottom w:w="72" w:type="dxa"/>
              <w:right w:w="20" w:type="dxa"/>
            </w:tcMar>
            <w:vAlign w:val="center"/>
          </w:tcPr>
          <w:p w14:paraId="3B93060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1）年底协助采购人完成票据结转工作，提前完成此年度基础信息同步至本地 </w:t>
            </w:r>
          </w:p>
          <w:p w14:paraId="08E9C77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2）提前完成旧票回收票据预下发，保障次年 1 月1 日业务能够正常开展行业。</w:t>
            </w:r>
          </w:p>
        </w:tc>
      </w:tr>
      <w:tr w14:paraId="7CC9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6D54670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w:t>
            </w:r>
          </w:p>
        </w:tc>
        <w:tc>
          <w:tcPr>
            <w:tcW w:w="842" w:type="pct"/>
            <w:tcBorders>
              <w:tl2br w:val="nil"/>
              <w:tr2bl w:val="nil"/>
            </w:tcBorders>
            <w:noWrap w:val="0"/>
            <w:tcMar>
              <w:top w:w="20" w:type="dxa"/>
              <w:left w:w="20" w:type="dxa"/>
              <w:bottom w:w="72" w:type="dxa"/>
              <w:right w:w="20" w:type="dxa"/>
            </w:tcMar>
            <w:vAlign w:val="center"/>
          </w:tcPr>
          <w:p w14:paraId="7ABEDC1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其他运维</w:t>
            </w:r>
          </w:p>
        </w:tc>
        <w:tc>
          <w:tcPr>
            <w:tcW w:w="1151" w:type="pct"/>
            <w:gridSpan w:val="2"/>
            <w:tcBorders>
              <w:tl2br w:val="nil"/>
              <w:tr2bl w:val="nil"/>
            </w:tcBorders>
            <w:noWrap w:val="0"/>
            <w:tcMar>
              <w:top w:w="20" w:type="dxa"/>
              <w:left w:w="20" w:type="dxa"/>
              <w:bottom w:w="72" w:type="dxa"/>
              <w:right w:w="20" w:type="dxa"/>
            </w:tcMar>
            <w:vAlign w:val="center"/>
          </w:tcPr>
          <w:p w14:paraId="31FE17B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测试环境升级问题</w:t>
            </w:r>
          </w:p>
        </w:tc>
        <w:tc>
          <w:tcPr>
            <w:tcW w:w="2434" w:type="pct"/>
            <w:tcBorders>
              <w:tl2br w:val="nil"/>
              <w:tr2bl w:val="nil"/>
            </w:tcBorders>
            <w:noWrap w:val="0"/>
            <w:tcMar>
              <w:top w:w="20" w:type="dxa"/>
              <w:left w:w="20" w:type="dxa"/>
              <w:bottom w:w="72" w:type="dxa"/>
              <w:right w:w="20" w:type="dxa"/>
            </w:tcMar>
            <w:vAlign w:val="center"/>
          </w:tcPr>
          <w:p w14:paraId="71741A2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维护测试环境和正式环境程序版本一致。</w:t>
            </w:r>
          </w:p>
        </w:tc>
      </w:tr>
    </w:tbl>
    <w:p w14:paraId="516E9403">
      <w:pPr>
        <w:widowControl/>
        <w:shd w:val="clear" w:color="auto" w:fill="FFFFFF"/>
        <w:spacing w:line="390" w:lineRule="atLeast"/>
        <w:ind w:firstLine="787" w:firstLineChars="328"/>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项目预算：4.</w:t>
      </w:r>
      <w:r>
        <w:rPr>
          <w:rFonts w:hint="eastAsia" w:ascii="宋体" w:hAnsi="宋体" w:eastAsia="宋体" w:cs="宋体"/>
          <w:color w:val="000000" w:themeColor="text1"/>
          <w:kern w:val="0"/>
          <w:sz w:val="24"/>
          <w:szCs w:val="24"/>
          <w:lang w:val="en-US" w:eastAsia="zh-CN"/>
          <w14:textFill>
            <w14:solidFill>
              <w14:schemeClr w14:val="tx1"/>
            </w14:solidFill>
          </w14:textFill>
        </w:rPr>
        <w:t>88</w:t>
      </w:r>
      <w:r>
        <w:rPr>
          <w:rFonts w:hint="eastAsia" w:ascii="宋体" w:hAnsi="宋体" w:eastAsia="宋体" w:cs="宋体"/>
          <w:color w:val="000000" w:themeColor="text1"/>
          <w:kern w:val="0"/>
          <w:sz w:val="24"/>
          <w:szCs w:val="24"/>
          <w14:textFill>
            <w14:solidFill>
              <w14:schemeClr w14:val="tx1"/>
            </w14:solidFill>
          </w14:textFill>
        </w:rPr>
        <w:t>万元</w:t>
      </w:r>
    </w:p>
    <w:p w14:paraId="1A312204">
      <w:pPr>
        <w:widowControl/>
        <w:shd w:val="clear" w:color="auto" w:fill="FFFFFF"/>
        <w:spacing w:line="390" w:lineRule="atLeast"/>
        <w:ind w:firstLine="787" w:firstLineChars="328"/>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厂商报价高于预算报价则为无效报价。</w:t>
      </w:r>
    </w:p>
    <w:p w14:paraId="69F2AEA5">
      <w:pPr>
        <w:pStyle w:val="16"/>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项目服务周期：1年</w:t>
      </w:r>
    </w:p>
    <w:p w14:paraId="1E22DCD1">
      <w:pPr>
        <w:pStyle w:val="16"/>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注意：</w:t>
      </w:r>
    </w:p>
    <w:p w14:paraId="3A7DEE7B">
      <w:pPr>
        <w:pStyle w:val="16"/>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1、本项目不接受联合体报价。</w:t>
      </w:r>
    </w:p>
    <w:p w14:paraId="0C32B323">
      <w:pPr>
        <w:pStyle w:val="16"/>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2、在福州市具有售后服务机构。</w:t>
      </w:r>
    </w:p>
    <w:p w14:paraId="2A8032B5">
      <w:pPr>
        <w:pStyle w:val="2"/>
        <w:ind w:firstLine="720" w:firstLineChars="30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3、本次项目询价采购参与方应对项目需求进行偏离响应，提供完全满足本项目需求的维保服务，并在此基础上进行报价。</w:t>
      </w:r>
    </w:p>
    <w:p w14:paraId="6E52DD1A">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p>
    <w:p w14:paraId="46E06BDB">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被授权代表（签字）：</w:t>
      </w:r>
    </w:p>
    <w:p w14:paraId="6A26154C">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p>
    <w:p w14:paraId="2EAC1911">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报价单位（盖章）：</w:t>
      </w:r>
    </w:p>
    <w:p w14:paraId="1B4A7DDD">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   年   月  日</w:t>
      </w:r>
    </w:p>
    <w:p w14:paraId="44E0D6C0">
      <w:pPr>
        <w:pStyle w:val="2"/>
        <w:ind w:left="0" w:leftChars="0" w:firstLine="0" w:firstLineChars="0"/>
        <w:jc w:val="both"/>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p>
    <w:p w14:paraId="64893F74">
      <w:pPr>
        <w:pStyle w:val="2"/>
        <w:ind w:left="0" w:leftChars="0" w:firstLine="0" w:firstLineChars="0"/>
        <w:jc w:val="center"/>
        <w:rPr>
          <w:rFonts w:hint="eastAsia" w:ascii="宋体" w:hAnsi="宋体" w:eastAsia="宋体" w:cs="宋体"/>
          <w:b/>
          <w:bCs/>
          <w:color w:val="000000" w:themeColor="text1"/>
          <w:sz w:val="30"/>
          <w:szCs w:val="30"/>
          <w14:textFill>
            <w14:solidFill>
              <w14:schemeClr w14:val="tx1"/>
            </w14:solidFill>
          </w14:textFill>
        </w:rPr>
      </w:pPr>
    </w:p>
    <w:p w14:paraId="47D09016">
      <w:pPr>
        <w:pStyle w:val="2"/>
        <w:ind w:left="0" w:leftChars="0" w:firstLine="0" w:firstLineChars="0"/>
        <w:jc w:val="center"/>
        <w:rPr>
          <w:rFonts w:hint="eastAsia" w:ascii="宋体" w:hAnsi="宋体" w:eastAsia="宋体" w:cs="宋体"/>
          <w:b/>
          <w:bCs/>
          <w:color w:val="000000" w:themeColor="text1"/>
          <w:sz w:val="30"/>
          <w:szCs w:val="30"/>
          <w14:textFill>
            <w14:solidFill>
              <w14:schemeClr w14:val="tx1"/>
            </w14:solidFill>
          </w14:textFill>
        </w:rPr>
      </w:pPr>
      <w:bookmarkStart w:id="0" w:name="_GoBack"/>
      <w:bookmarkEnd w:id="0"/>
    </w:p>
    <w:p w14:paraId="205CAA63">
      <w:pPr>
        <w:pStyle w:val="2"/>
        <w:ind w:left="0" w:leftChars="0" w:firstLine="0" w:firstLine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二、有效期内营业执照复印件（三证合一）</w:t>
      </w:r>
    </w:p>
    <w:p w14:paraId="1E015123">
      <w:pPr>
        <w:jc w:val="center"/>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三、委托代理人及法定代表人的有效身份证明复印件</w:t>
      </w:r>
    </w:p>
    <w:p w14:paraId="339275E5">
      <w:p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（一）法定代表人的有效身份证明复印件</w:t>
      </w:r>
    </w:p>
    <w:p w14:paraId="14C1A54A">
      <w:p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（二）委托代理人的有效身份证明复印件</w:t>
      </w:r>
    </w:p>
    <w:p w14:paraId="63EECC37">
      <w:pPr>
        <w:pStyle w:val="6"/>
        <w:widowControl/>
        <w:shd w:val="clear" w:color="auto" w:fill="FFFFFF"/>
        <w:spacing w:beforeAutospacing="0" w:afterAutospacing="0" w:line="480" w:lineRule="exact"/>
        <w:ind w:leftChars="-340" w:hanging="713" w:hangingChars="223"/>
        <w:jc w:val="center"/>
        <w:rPr>
          <w:rFonts w:hint="eastAsia" w:ascii="宋体" w:hAnsi="宋体" w:eastAsia="宋体" w:cs="宋体"/>
          <w:b/>
          <w:bCs/>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b/>
          <w:bCs/>
          <w:color w:val="000000" w:themeColor="text1"/>
          <w:kern w:val="2"/>
          <w:sz w:val="30"/>
          <w:szCs w:val="30"/>
          <w14:textFill>
            <w14:solidFill>
              <w14:schemeClr w14:val="tx1"/>
            </w14:solidFill>
          </w14:textFill>
        </w:rPr>
        <w:t>四、法定代表人授权委托书原件</w:t>
      </w:r>
    </w:p>
    <w:p w14:paraId="5B1D4CFE">
      <w:pPr>
        <w:pStyle w:val="6"/>
        <w:widowControl/>
        <w:shd w:val="clear" w:color="auto" w:fill="FFFFFF"/>
        <w:spacing w:beforeAutospacing="0" w:afterAutospacing="0" w:line="480" w:lineRule="exact"/>
        <w:ind w:left="-35" w:leftChars="-272" w:hanging="536" w:hangingChars="178"/>
        <w:jc w:val="center"/>
        <w:rPr>
          <w:rFonts w:hint="eastAsia" w:ascii="宋体" w:hAnsi="宋体" w:eastAsia="宋体" w:cs="宋体"/>
          <w:b/>
          <w:bCs/>
          <w:color w:val="000000" w:themeColor="text1"/>
          <w:sz w:val="30"/>
          <w:szCs w:val="30"/>
          <w:shd w:val="clear" w:color="auto" w:fill="FFFFFF"/>
          <w14:textFill>
            <w14:solidFill>
              <w14:schemeClr w14:val="tx1"/>
            </w14:solidFill>
          </w14:textFill>
        </w:rPr>
      </w:pPr>
      <w:r>
        <w:rPr>
          <w:rFonts w:hint="eastAsia" w:ascii="宋体" w:hAnsi="宋体" w:eastAsia="宋体" w:cs="宋体"/>
          <w:b/>
          <w:bCs/>
          <w:color w:val="000000" w:themeColor="text1"/>
          <w:sz w:val="30"/>
          <w:szCs w:val="30"/>
          <w:shd w:val="clear" w:color="auto" w:fill="FFFFFF"/>
          <w14:textFill>
            <w14:solidFill>
              <w14:schemeClr w14:val="tx1"/>
            </w14:solidFill>
          </w14:textFill>
        </w:rPr>
        <w:t>(委托代理人是法定代表人的无需提供)</w:t>
      </w:r>
    </w:p>
    <w:p w14:paraId="0E1FA583">
      <w:pPr>
        <w:pStyle w:val="6"/>
        <w:widowControl/>
        <w:shd w:val="clear" w:color="auto" w:fill="FFFFFF"/>
        <w:spacing w:beforeAutospacing="0" w:afterAutospacing="0" w:line="480" w:lineRule="exact"/>
        <w:ind w:left="5250"/>
        <w:rPr>
          <w:rFonts w:hint="eastAsia" w:ascii="宋体" w:hAnsi="宋体" w:eastAsia="宋体" w:cs="宋体"/>
          <w:color w:val="000000" w:themeColor="text1"/>
          <w:sz w:val="32"/>
          <w:szCs w:val="32"/>
          <w:shd w:val="clear" w:color="auto" w:fill="FFFFFF"/>
          <w14:textFill>
            <w14:solidFill>
              <w14:schemeClr w14:val="tx1"/>
            </w14:solidFill>
          </w14:textFill>
        </w:rPr>
      </w:pPr>
    </w:p>
    <w:p w14:paraId="6F1D4204">
      <w:pPr>
        <w:pStyle w:val="6"/>
        <w:widowControl/>
        <w:shd w:val="clear" w:color="auto" w:fill="FFFFFF"/>
        <w:spacing w:beforeAutospacing="0" w:afterAutospacing="0" w:line="480" w:lineRule="exact"/>
        <w:ind w:firstLine="567"/>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兹委托</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（身份证号码：</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）全权代表我单位参加</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医疗电子票据</w:t>
      </w:r>
      <w:r>
        <w:rPr>
          <w:rFonts w:hint="eastAsia" w:ascii="宋体" w:hAnsi="宋体" w:eastAsia="宋体" w:cs="宋体"/>
          <w:color w:val="000000" w:themeColor="text1"/>
          <w:sz w:val="24"/>
          <w:szCs w:val="24"/>
          <w:shd w:val="clear" w:color="auto" w:fill="FFFFFF"/>
          <w14:textFill>
            <w14:solidFill>
              <w14:schemeClr w14:val="tx1"/>
            </w14:solidFill>
          </w14:textFill>
        </w:rPr>
        <w:t>系统维保询价采购，全权代表我方处理本次市场询价采购过程的一切事宜，包括但不限于报价、澄清、声明等。被授权人</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在本次</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询价采购</w:t>
      </w:r>
      <w:r>
        <w:rPr>
          <w:rFonts w:hint="eastAsia" w:ascii="宋体" w:hAnsi="宋体" w:eastAsia="宋体" w:cs="宋体"/>
          <w:color w:val="000000" w:themeColor="text1"/>
          <w:sz w:val="24"/>
          <w:szCs w:val="24"/>
          <w:shd w:val="clear" w:color="auto" w:fill="FFFFFF"/>
          <w14:textFill>
            <w14:solidFill>
              <w14:schemeClr w14:val="tx1"/>
            </w14:solidFill>
          </w14:textFill>
        </w:rPr>
        <w:t>过程中所签署的一切文件，我方均予以认可并对此承担责任。</w:t>
      </w:r>
    </w:p>
    <w:p w14:paraId="507A92D5">
      <w:pPr>
        <w:pStyle w:val="6"/>
        <w:widowControl/>
        <w:shd w:val="clear" w:color="auto" w:fill="FFFFFF"/>
        <w:spacing w:beforeAutospacing="0" w:afterAutospacing="0" w:line="480" w:lineRule="exact"/>
        <w:ind w:left="5250" w:hanging="4683"/>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授权有效期自委托时间起90天内有效。</w:t>
      </w:r>
    </w:p>
    <w:p w14:paraId="095FC721">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24"/>
          <w:szCs w:val="24"/>
          <w:shd w:val="clear" w:color="auto" w:fill="FFFFFF"/>
          <w14:textFill>
            <w14:solidFill>
              <w14:schemeClr w14:val="tx1"/>
            </w14:solidFill>
          </w14:textFill>
        </w:rPr>
      </w:pPr>
    </w:p>
    <w:p w14:paraId="3A66F6FC">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p>
    <w:p w14:paraId="1B1DEBA7">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p>
    <w:p w14:paraId="65E631CB">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委托单位（盖章）：</w:t>
      </w:r>
    </w:p>
    <w:p w14:paraId="4B112791">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法定代表人：</w:t>
      </w:r>
    </w:p>
    <w:p w14:paraId="6C27B1F3">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法定代表人联系电话：</w:t>
      </w:r>
    </w:p>
    <w:p w14:paraId="49E2B408">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被授权代表人：</w:t>
      </w:r>
    </w:p>
    <w:p w14:paraId="19218162">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被授权代表人联系电话：</w:t>
      </w:r>
    </w:p>
    <w:p w14:paraId="356D4459">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委托时间：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3BE3E991">
      <w:pPr>
        <w:pStyle w:val="6"/>
        <w:widowControl/>
        <w:shd w:val="clear" w:color="auto" w:fill="FFFFFF"/>
        <w:spacing w:beforeAutospacing="0" w:afterAutospacing="0" w:line="480" w:lineRule="exact"/>
        <w:ind w:left="5250"/>
        <w:rPr>
          <w:rFonts w:hint="eastAsia" w:ascii="宋体" w:hAnsi="宋体" w:eastAsia="宋体" w:cs="宋体"/>
          <w:color w:val="000000" w:themeColor="text1"/>
          <w:sz w:val="32"/>
          <w:szCs w:val="32"/>
          <w:shd w:val="clear" w:color="auto" w:fill="FFFFFF"/>
          <w14:textFill>
            <w14:solidFill>
              <w14:schemeClr w14:val="tx1"/>
            </w14:solidFill>
          </w14:textFill>
        </w:rPr>
      </w:pPr>
    </w:p>
    <w:p w14:paraId="31843459">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32"/>
          <w:szCs w:val="32"/>
          <w:shd w:val="clear" w:color="auto" w:fill="FFFFFF"/>
          <w14:textFill>
            <w14:solidFill>
              <w14:schemeClr w14:val="tx1"/>
            </w14:solidFill>
          </w14:textFill>
        </w:rPr>
      </w:pPr>
    </w:p>
    <w:p w14:paraId="37D8F78D">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32"/>
          <w:szCs w:val="32"/>
          <w:shd w:val="clear" w:color="auto" w:fill="FFFFFF"/>
          <w14:textFill>
            <w14:solidFill>
              <w14:schemeClr w14:val="tx1"/>
            </w14:solidFill>
          </w14:textFill>
        </w:rPr>
      </w:pPr>
    </w:p>
    <w:p w14:paraId="199D9F10">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32"/>
          <w:szCs w:val="32"/>
          <w:shd w:val="clear" w:color="auto" w:fill="FFFFFF"/>
          <w14:textFill>
            <w14:solidFill>
              <w14:schemeClr w14:val="tx1"/>
            </w14:solidFill>
          </w14:textFill>
        </w:rPr>
      </w:pPr>
    </w:p>
    <w:p w14:paraId="4EEBDD30">
      <w:pPr>
        <w:pStyle w:val="6"/>
        <w:widowControl/>
        <w:shd w:val="clear" w:color="auto" w:fill="FFFFFF"/>
        <w:spacing w:beforeAutospacing="0" w:afterAutospacing="0" w:line="480" w:lineRule="exact"/>
        <w:ind w:left="5250"/>
        <w:jc w:val="center"/>
        <w:rPr>
          <w:rFonts w:hint="eastAsia" w:ascii="宋体" w:hAnsi="宋体" w:eastAsia="宋体" w:cs="宋体"/>
          <w:color w:val="000000" w:themeColor="text1"/>
          <w:sz w:val="32"/>
          <w:szCs w:val="32"/>
          <w:shd w:val="clear" w:color="auto" w:fill="FFFFFF"/>
          <w14:textFill>
            <w14:solidFill>
              <w14:schemeClr w14:val="tx1"/>
            </w14:solidFill>
          </w14:textFill>
        </w:rPr>
      </w:pPr>
    </w:p>
    <w:p w14:paraId="49915301">
      <w:pPr>
        <w:pStyle w:val="6"/>
        <w:widowControl/>
        <w:shd w:val="clear" w:color="auto" w:fill="FFFFFF"/>
        <w:spacing w:beforeAutospacing="0" w:afterAutospacing="0" w:line="480" w:lineRule="exact"/>
        <w:ind w:left="5250"/>
        <w:jc w:val="center"/>
        <w:rPr>
          <w:rFonts w:hint="eastAsia" w:ascii="宋体" w:hAnsi="宋体" w:eastAsia="宋体" w:cs="宋体"/>
          <w:color w:val="000000" w:themeColor="text1"/>
          <w:sz w:val="32"/>
          <w:szCs w:val="32"/>
          <w:shd w:val="clear" w:color="auto" w:fill="FFFFFF"/>
          <w14:textFill>
            <w14:solidFill>
              <w14:schemeClr w14:val="tx1"/>
            </w14:solidFill>
          </w14:textFill>
        </w:rPr>
      </w:pPr>
    </w:p>
    <w:p w14:paraId="672A1BA9">
      <w:pPr>
        <w:rPr>
          <w:rFonts w:hint="eastAsia" w:ascii="宋体" w:hAnsi="宋体" w:eastAsia="宋体" w:cs="宋体"/>
          <w:color w:val="000000" w:themeColor="text1"/>
          <w:kern w:val="0"/>
          <w:sz w:val="32"/>
          <w:szCs w:val="32"/>
          <w14:textFill>
            <w14:solidFill>
              <w14:schemeClr w14:val="tx1"/>
            </w14:solidFill>
          </w14:textFill>
        </w:rPr>
      </w:pPr>
    </w:p>
    <w:p w14:paraId="55741B7A">
      <w:pPr>
        <w:widowControl/>
        <w:spacing w:line="56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五、三年内无违法记录声明</w:t>
      </w:r>
    </w:p>
    <w:p w14:paraId="624F058A">
      <w:pPr>
        <w:pStyle w:val="10"/>
        <w:rPr>
          <w:rFonts w:hint="eastAsia" w:ascii="宋体" w:hAnsi="宋体" w:eastAsia="宋体" w:cs="宋体"/>
          <w:color w:val="000000" w:themeColor="text1"/>
          <w14:textFill>
            <w14:solidFill>
              <w14:schemeClr w14:val="tx1"/>
            </w14:solidFill>
          </w14:textFill>
        </w:rPr>
      </w:pPr>
    </w:p>
    <w:p w14:paraId="0C946065">
      <w:pPr>
        <w:pStyle w:val="2"/>
        <w:rPr>
          <w:rFonts w:hint="eastAsia" w:ascii="宋体" w:hAnsi="宋体" w:eastAsia="宋体" w:cs="宋体"/>
          <w:color w:val="000000" w:themeColor="text1"/>
          <w14:textFill>
            <w14:solidFill>
              <w14:schemeClr w14:val="tx1"/>
            </w14:solidFill>
          </w14:textFill>
        </w:rPr>
      </w:pPr>
    </w:p>
    <w:p w14:paraId="3342AD54">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致福建中医药大学附属第三人民医院：</w:t>
      </w:r>
    </w:p>
    <w:p w14:paraId="2000308E">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4253848A">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参加本次</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医疗电子票据</w:t>
      </w:r>
      <w:r>
        <w:rPr>
          <w:rFonts w:hint="eastAsia" w:ascii="宋体" w:hAnsi="宋体" w:eastAsia="宋体" w:cs="宋体"/>
          <w:color w:val="000000" w:themeColor="text1"/>
          <w:sz w:val="24"/>
          <w:szCs w:val="24"/>
          <w:shd w:val="clear" w:color="auto" w:fill="FFFFFF"/>
          <w14:textFill>
            <w14:solidFill>
              <w14:schemeClr w14:val="tx1"/>
            </w14:solidFill>
          </w14:textFill>
        </w:rPr>
        <w:t>系统维保询价采购项目目前三年内，我方在经营活动中没有违法记录，也无行贿犯罪记录，否则产生不利后果由我方承担责任。</w:t>
      </w:r>
    </w:p>
    <w:p w14:paraId="19106A84">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特此声明！</w:t>
      </w:r>
    </w:p>
    <w:p w14:paraId="25D30F44">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2CFD57DB">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0E203039">
      <w:pPr>
        <w:pStyle w:val="6"/>
        <w:widowControl/>
        <w:shd w:val="clear" w:color="auto" w:fill="FFFFFF"/>
        <w:wordWrap/>
        <w:spacing w:beforeAutospacing="0" w:afterAutospacing="0" w:line="480" w:lineRule="exact"/>
        <w:ind w:left="5040" w:leftChars="0" w:firstLine="420" w:firstLineChars="0"/>
        <w:jc w:val="left"/>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被授权代表（签字）：</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p>
    <w:p w14:paraId="03E6AF03">
      <w:pPr>
        <w:pStyle w:val="6"/>
        <w:widowControl/>
        <w:shd w:val="clear" w:color="auto" w:fill="FFFFFF"/>
        <w:spacing w:beforeAutospacing="0" w:afterAutospacing="0" w:line="480" w:lineRule="exact"/>
        <w:ind w:left="5040" w:leftChars="0" w:firstLine="420" w:firstLineChars="0"/>
        <w:jc w:val="left"/>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联系电话：</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43D4B153">
      <w:pPr>
        <w:pStyle w:val="6"/>
        <w:widowControl/>
        <w:shd w:val="clear" w:color="auto" w:fill="FFFFFF"/>
        <w:spacing w:beforeAutospacing="0" w:afterAutospacing="0" w:line="480" w:lineRule="exact"/>
        <w:ind w:left="5040" w:leftChars="0" w:firstLine="420" w:firstLineChars="0"/>
        <w:jc w:val="left"/>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报价单位（盖章）：</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51A38F93">
      <w:pPr>
        <w:pStyle w:val="6"/>
        <w:widowControl/>
        <w:shd w:val="clear" w:color="auto" w:fill="FFFFFF"/>
        <w:spacing w:beforeAutospacing="0" w:afterAutospacing="0" w:line="480" w:lineRule="exact"/>
        <w:ind w:left="504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日期：</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0AC7CCC1">
      <w:pPr>
        <w:pStyle w:val="10"/>
        <w:ind w:left="5040" w:leftChars="0" w:firstLine="420" w:firstLineChars="0"/>
        <w:jc w:val="left"/>
        <w:rPr>
          <w:rFonts w:hint="eastAsia" w:ascii="宋体" w:hAnsi="宋体" w:eastAsia="宋体" w:cs="宋体"/>
          <w:color w:val="000000" w:themeColor="text1"/>
          <w:sz w:val="32"/>
          <w:szCs w:val="32"/>
          <w14:textFill>
            <w14:solidFill>
              <w14:schemeClr w14:val="tx1"/>
            </w14:solidFill>
          </w14:textFill>
        </w:rPr>
      </w:pPr>
    </w:p>
    <w:p w14:paraId="2E06AD21">
      <w:pPr>
        <w:pStyle w:val="10"/>
        <w:rPr>
          <w:rFonts w:hint="eastAsia" w:ascii="宋体" w:hAnsi="宋体" w:eastAsia="宋体" w:cs="宋体"/>
          <w:color w:val="000000" w:themeColor="text1"/>
          <w:sz w:val="32"/>
          <w:szCs w:val="32"/>
          <w14:textFill>
            <w14:solidFill>
              <w14:schemeClr w14:val="tx1"/>
            </w14:solidFill>
          </w14:textFill>
        </w:rPr>
      </w:pPr>
    </w:p>
    <w:p w14:paraId="512C9A7D">
      <w:pPr>
        <w:pStyle w:val="10"/>
        <w:rPr>
          <w:rFonts w:hint="eastAsia" w:ascii="宋体" w:hAnsi="宋体" w:eastAsia="宋体" w:cs="宋体"/>
          <w:color w:val="000000" w:themeColor="text1"/>
          <w:sz w:val="32"/>
          <w:szCs w:val="32"/>
          <w14:textFill>
            <w14:solidFill>
              <w14:schemeClr w14:val="tx1"/>
            </w14:solidFill>
          </w14:textFill>
        </w:rPr>
      </w:pPr>
    </w:p>
    <w:p w14:paraId="372F7C89">
      <w:pPr>
        <w:pStyle w:val="10"/>
        <w:rPr>
          <w:rFonts w:hint="eastAsia" w:ascii="宋体" w:hAnsi="宋体" w:eastAsia="宋体" w:cs="宋体"/>
          <w:color w:val="000000" w:themeColor="text1"/>
          <w:sz w:val="32"/>
          <w:szCs w:val="32"/>
          <w14:textFill>
            <w14:solidFill>
              <w14:schemeClr w14:val="tx1"/>
            </w14:solidFill>
          </w14:textFill>
        </w:rPr>
      </w:pPr>
    </w:p>
    <w:p w14:paraId="33C9666B">
      <w:pPr>
        <w:pStyle w:val="10"/>
        <w:rPr>
          <w:rFonts w:hint="eastAsia" w:ascii="宋体" w:hAnsi="宋体" w:eastAsia="宋体" w:cs="宋体"/>
          <w:color w:val="000000" w:themeColor="text1"/>
          <w:sz w:val="32"/>
          <w:szCs w:val="32"/>
          <w14:textFill>
            <w14:solidFill>
              <w14:schemeClr w14:val="tx1"/>
            </w14:solidFill>
          </w14:textFill>
        </w:rPr>
      </w:pPr>
    </w:p>
    <w:p w14:paraId="506AD7C2">
      <w:pPr>
        <w:pStyle w:val="10"/>
        <w:rPr>
          <w:rFonts w:hint="eastAsia" w:ascii="宋体" w:hAnsi="宋体" w:eastAsia="宋体" w:cs="宋体"/>
          <w:color w:val="000000" w:themeColor="text1"/>
          <w:sz w:val="32"/>
          <w:szCs w:val="32"/>
          <w14:textFill>
            <w14:solidFill>
              <w14:schemeClr w14:val="tx1"/>
            </w14:solidFill>
          </w14:textFill>
        </w:rPr>
      </w:pPr>
    </w:p>
    <w:p w14:paraId="2DE412DB">
      <w:pPr>
        <w:pStyle w:val="10"/>
        <w:rPr>
          <w:rFonts w:hint="eastAsia" w:ascii="宋体" w:hAnsi="宋体" w:eastAsia="宋体" w:cs="宋体"/>
          <w:color w:val="000000" w:themeColor="text1"/>
          <w:sz w:val="32"/>
          <w:szCs w:val="32"/>
          <w14:textFill>
            <w14:solidFill>
              <w14:schemeClr w14:val="tx1"/>
            </w14:solidFill>
          </w14:textFill>
        </w:rPr>
      </w:pPr>
    </w:p>
    <w:p w14:paraId="7C4D1275">
      <w:pPr>
        <w:pStyle w:val="10"/>
        <w:rPr>
          <w:rFonts w:hint="eastAsia" w:ascii="宋体" w:hAnsi="宋体" w:eastAsia="宋体" w:cs="宋体"/>
          <w:color w:val="000000" w:themeColor="text1"/>
          <w:sz w:val="32"/>
          <w:szCs w:val="32"/>
          <w14:textFill>
            <w14:solidFill>
              <w14:schemeClr w14:val="tx1"/>
            </w14:solidFill>
          </w14:textFill>
        </w:rPr>
      </w:pPr>
    </w:p>
    <w:p w14:paraId="21B42C2F">
      <w:pPr>
        <w:pStyle w:val="10"/>
        <w:rPr>
          <w:rFonts w:hint="eastAsia" w:ascii="宋体" w:hAnsi="宋体" w:eastAsia="宋体" w:cs="宋体"/>
          <w:color w:val="000000" w:themeColor="text1"/>
          <w:sz w:val="32"/>
          <w:szCs w:val="32"/>
          <w14:textFill>
            <w14:solidFill>
              <w14:schemeClr w14:val="tx1"/>
            </w14:solidFill>
          </w14:textFill>
        </w:rPr>
      </w:pPr>
    </w:p>
    <w:p w14:paraId="180FCBA3">
      <w:pPr>
        <w:pStyle w:val="10"/>
        <w:rPr>
          <w:rFonts w:hint="eastAsia" w:ascii="宋体" w:hAnsi="宋体" w:eastAsia="宋体" w:cs="宋体"/>
          <w:color w:val="000000" w:themeColor="text1"/>
          <w:sz w:val="32"/>
          <w:szCs w:val="32"/>
          <w14:textFill>
            <w14:solidFill>
              <w14:schemeClr w14:val="tx1"/>
            </w14:solidFill>
          </w14:textFill>
        </w:rPr>
      </w:pPr>
    </w:p>
    <w:p w14:paraId="3103E769">
      <w:pPr>
        <w:pStyle w:val="10"/>
        <w:rPr>
          <w:rFonts w:hint="eastAsia" w:ascii="宋体" w:hAnsi="宋体" w:eastAsia="宋体" w:cs="宋体"/>
          <w:color w:val="000000" w:themeColor="text1"/>
          <w:sz w:val="32"/>
          <w:szCs w:val="32"/>
          <w14:textFill>
            <w14:solidFill>
              <w14:schemeClr w14:val="tx1"/>
            </w14:solidFill>
          </w14:textFill>
        </w:rPr>
      </w:pPr>
    </w:p>
    <w:p w14:paraId="7DD16DA6">
      <w:pPr>
        <w:widowControl/>
        <w:spacing w:line="560" w:lineRule="exact"/>
        <w:ind w:firstLine="3213" w:firstLineChars="1000"/>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六、售后服务承诺书</w:t>
      </w:r>
    </w:p>
    <w:p w14:paraId="66687695">
      <w:pPr>
        <w:pStyle w:val="6"/>
        <w:widowControl/>
        <w:shd w:val="clear" w:color="auto" w:fill="FFFFFF"/>
        <w:spacing w:beforeAutospacing="0" w:afterAutospacing="0" w:line="480" w:lineRule="exact"/>
        <w:jc w:val="center"/>
        <w:rPr>
          <w:rFonts w:hint="eastAsia" w:ascii="宋体" w:hAnsi="宋体" w:eastAsia="宋体" w:cs="宋体"/>
          <w:color w:val="000000" w:themeColor="text1"/>
          <w:sz w:val="32"/>
          <w:szCs w:val="32"/>
          <w:shd w:val="clear" w:color="auto" w:fill="FFFFFF"/>
          <w14:textFill>
            <w14:solidFill>
              <w14:schemeClr w14:val="tx1"/>
            </w14:solidFill>
          </w14:textFill>
        </w:rPr>
      </w:pPr>
    </w:p>
    <w:p w14:paraId="509A26F1">
      <w:pPr>
        <w:pStyle w:val="6"/>
        <w:widowControl/>
        <w:shd w:val="clear" w:color="auto" w:fill="FFFFFF"/>
        <w:spacing w:beforeAutospacing="0" w:afterAutospacing="0" w:line="480" w:lineRule="exact"/>
        <w:jc w:val="both"/>
        <w:rPr>
          <w:rFonts w:hint="eastAsia" w:ascii="宋体" w:hAnsi="宋体" w:eastAsia="宋体" w:cs="宋体"/>
          <w:color w:val="000000" w:themeColor="text1"/>
          <w:sz w:val="32"/>
          <w:szCs w:val="32"/>
          <w:shd w:val="clear" w:color="auto" w:fill="FFFFFF"/>
          <w14:textFill>
            <w14:solidFill>
              <w14:schemeClr w14:val="tx1"/>
            </w14:solidFill>
          </w14:textFill>
        </w:rPr>
      </w:pPr>
    </w:p>
    <w:p w14:paraId="44D4CC35">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致福建中医药大学附属第三人民医院：</w:t>
      </w:r>
    </w:p>
    <w:p w14:paraId="32AAF33C">
      <w:pPr>
        <w:widowControl/>
        <w:shd w:val="clear" w:color="auto" w:fill="FFFFFF"/>
        <w:spacing w:line="560" w:lineRule="exact"/>
        <w:ind w:firstLine="601"/>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我单位将完全按照贵单位</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shd w:val="clear" w:color="auto" w:fill="FFFFFF"/>
          <w14:textFill>
            <w14:solidFill>
              <w14:schemeClr w14:val="tx1"/>
            </w14:solidFill>
          </w14:textFill>
        </w:rPr>
        <w:t>系统维保询价采购</w:t>
      </w:r>
      <w:r>
        <w:rPr>
          <w:rFonts w:hint="eastAsia" w:ascii="宋体" w:hAnsi="宋体" w:eastAsia="宋体" w:cs="宋体"/>
          <w:color w:val="000000" w:themeColor="text1"/>
          <w:sz w:val="24"/>
          <w:szCs w:val="24"/>
          <w:shd w:val="clear" w:color="auto" w:fill="FFFFFF"/>
          <w14:textFill>
            <w14:solidFill>
              <w14:schemeClr w14:val="tx1"/>
            </w14:solidFill>
          </w14:textFill>
        </w:rPr>
        <w:t>项目询价文件中的产品技术要求向贵单位提供相应服务，项目除响应材料所报价格外不再收取其他费用。</w:t>
      </w:r>
    </w:p>
    <w:p w14:paraId="63420070">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7617B901">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07213FEC">
      <w:pPr>
        <w:pStyle w:val="6"/>
        <w:widowControl/>
        <w:shd w:val="clear" w:color="auto" w:fill="FFFFFF"/>
        <w:spacing w:beforeAutospacing="0" w:afterAutospacing="0" w:line="480" w:lineRule="exact"/>
        <w:ind w:left="4620" w:leftChars="0" w:firstLine="420" w:firstLineChars="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被授权代表（签字）：</w:t>
      </w:r>
    </w:p>
    <w:p w14:paraId="219DEB39">
      <w:pPr>
        <w:pStyle w:val="6"/>
        <w:widowControl/>
        <w:shd w:val="clear" w:color="auto" w:fill="FFFFFF"/>
        <w:spacing w:beforeAutospacing="0" w:afterAutospacing="0" w:line="480" w:lineRule="exact"/>
        <w:ind w:left="462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联系电话：</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42559CCF">
      <w:pPr>
        <w:pStyle w:val="6"/>
        <w:widowControl/>
        <w:shd w:val="clear" w:color="auto" w:fill="FFFFFF"/>
        <w:spacing w:beforeAutospacing="0" w:afterAutospacing="0" w:line="480" w:lineRule="exact"/>
        <w:ind w:left="462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报价单位（盖章）：</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696D8664">
      <w:pPr>
        <w:spacing w:line="540" w:lineRule="exact"/>
        <w:ind w:left="4620" w:leftChars="0" w:firstLine="420" w:firstLineChars="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日期：</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039E405B">
      <w:pPr>
        <w:pStyle w:val="2"/>
        <w:ind w:firstLine="0"/>
        <w:rPr>
          <w:rFonts w:hint="eastAsia" w:ascii="宋体" w:hAnsi="宋体" w:eastAsia="宋体" w:cs="宋体"/>
          <w:color w:val="000000" w:themeColor="text1"/>
          <w:sz w:val="28"/>
          <w:szCs w:val="28"/>
          <w:shd w:val="clear" w:color="auto" w:fill="FFFFFF"/>
          <w14:textFill>
            <w14:solidFill>
              <w14:schemeClr w14:val="tx1"/>
            </w14:solidFill>
          </w14:textFill>
        </w:rPr>
        <w:sectPr>
          <w:footerReference r:id="rId3" w:type="default"/>
          <w:footerReference r:id="rId4" w:type="even"/>
          <w:pgSz w:w="11906" w:h="16838"/>
          <w:pgMar w:top="1701" w:right="1612" w:bottom="1418" w:left="1054" w:header="851" w:footer="1134" w:gutter="0"/>
          <w:pgNumType w:fmt="numberInDash"/>
          <w:cols w:space="720" w:num="1"/>
          <w:docGrid w:type="lines" w:linePitch="312" w:charSpace="0"/>
        </w:sectPr>
      </w:pPr>
    </w:p>
    <w:p w14:paraId="35E57481">
      <w:pPr>
        <w:pStyle w:val="6"/>
        <w:widowControl/>
        <w:shd w:val="clear" w:color="auto" w:fill="FFFFFF"/>
        <w:spacing w:beforeAutospacing="0" w:afterAutospacing="0" w:line="480" w:lineRule="exact"/>
        <w:jc w:val="center"/>
        <w:rPr>
          <w:rFonts w:hint="eastAsia"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七、数据安全承诺书</w:t>
      </w:r>
    </w:p>
    <w:p w14:paraId="3EB35639">
      <w:pPr>
        <w:pStyle w:val="6"/>
        <w:widowControl/>
        <w:shd w:val="clear" w:color="auto" w:fill="FFFFFF"/>
        <w:spacing w:beforeAutospacing="0" w:afterAutospacing="0" w:line="480" w:lineRule="exact"/>
        <w:jc w:val="both"/>
        <w:rPr>
          <w:rFonts w:hint="eastAsia" w:ascii="宋体" w:hAnsi="宋体" w:eastAsia="宋体" w:cs="宋体"/>
          <w:color w:val="000000" w:themeColor="text1"/>
          <w:sz w:val="32"/>
          <w:szCs w:val="32"/>
          <w:shd w:val="clear" w:color="auto" w:fill="FFFFFF"/>
          <w14:textFill>
            <w14:solidFill>
              <w14:schemeClr w14:val="tx1"/>
            </w14:solidFill>
          </w14:textFill>
        </w:rPr>
      </w:pPr>
    </w:p>
    <w:p w14:paraId="00FFAEFD">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致福建中医药大学附属第三人民医院：</w:t>
      </w:r>
    </w:p>
    <w:p w14:paraId="6BE8D110">
      <w:pPr>
        <w:widowControl/>
        <w:shd w:val="clear" w:color="auto" w:fill="FFFFFF"/>
        <w:spacing w:line="560" w:lineRule="exact"/>
        <w:ind w:firstLine="601"/>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我单位可以完全按照贵单位本次</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询价采购</w:t>
      </w:r>
      <w:r>
        <w:rPr>
          <w:rFonts w:hint="eastAsia" w:ascii="宋体" w:hAnsi="宋体" w:eastAsia="宋体" w:cs="宋体"/>
          <w:color w:val="000000" w:themeColor="text1"/>
          <w:sz w:val="24"/>
          <w:szCs w:val="24"/>
          <w:shd w:val="clear" w:color="auto" w:fill="FFFFFF"/>
          <w14:textFill>
            <w14:solidFill>
              <w14:schemeClr w14:val="tx1"/>
            </w14:solidFill>
          </w14:textFill>
        </w:rPr>
        <w:t>文件中项目询价文件中的产品技术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14:paraId="5DA932A5">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3F08D59C">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50F78A34">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被授权代表（签字）：</w:t>
      </w:r>
    </w:p>
    <w:p w14:paraId="437DC023">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联系电话：</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4A40D0FC">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报价单位（盖章）：</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339E3E52">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日期：</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58C9A368">
      <w:pPr>
        <w:pStyle w:val="6"/>
        <w:widowControl/>
        <w:shd w:val="clear" w:color="auto" w:fill="FFFFFF"/>
        <w:spacing w:beforeAutospacing="0" w:afterAutospacing="0" w:line="480" w:lineRule="exact"/>
        <w:jc w:val="both"/>
        <w:rPr>
          <w:rFonts w:hint="eastAsia" w:ascii="宋体" w:hAnsi="宋体" w:eastAsia="宋体" w:cs="宋体"/>
          <w:color w:val="000000" w:themeColor="text1"/>
          <w:sz w:val="32"/>
          <w:szCs w:val="32"/>
          <w:shd w:val="clear" w:color="auto" w:fill="FFFFFF"/>
          <w14:textFill>
            <w14:solidFill>
              <w14:schemeClr w14:val="tx1"/>
            </w14:solidFill>
          </w14:textFill>
        </w:rPr>
      </w:pPr>
    </w:p>
    <w:p w14:paraId="4A8EC1E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
          <w:szCs w:val="2"/>
          <w:shd w:val="clear" w:color="auto" w:fill="FFFFFF"/>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2AC1">
    <w:pPr>
      <w:pStyle w:val="4"/>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67A43E">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067A43E">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6B9A">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C4A095">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76C4A095">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19C34"/>
    <w:multiLevelType w:val="singleLevel"/>
    <w:tmpl w:val="60619C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97"/>
    <w:rsid w:val="00002DD1"/>
    <w:rsid w:val="00091D36"/>
    <w:rsid w:val="000F625D"/>
    <w:rsid w:val="00102047"/>
    <w:rsid w:val="00112963"/>
    <w:rsid w:val="00227F08"/>
    <w:rsid w:val="003543DC"/>
    <w:rsid w:val="003C7BDC"/>
    <w:rsid w:val="004208C3"/>
    <w:rsid w:val="00560197"/>
    <w:rsid w:val="00564651"/>
    <w:rsid w:val="005F1923"/>
    <w:rsid w:val="00650964"/>
    <w:rsid w:val="006C587C"/>
    <w:rsid w:val="006C6C0E"/>
    <w:rsid w:val="00811EFE"/>
    <w:rsid w:val="00853946"/>
    <w:rsid w:val="00883614"/>
    <w:rsid w:val="00903438"/>
    <w:rsid w:val="00912E7C"/>
    <w:rsid w:val="009A5D18"/>
    <w:rsid w:val="00A00A7B"/>
    <w:rsid w:val="00A81AD7"/>
    <w:rsid w:val="00AD2B7B"/>
    <w:rsid w:val="00B17CE2"/>
    <w:rsid w:val="00C322C7"/>
    <w:rsid w:val="00C6297B"/>
    <w:rsid w:val="00C7795A"/>
    <w:rsid w:val="00CB6C08"/>
    <w:rsid w:val="00CC53B8"/>
    <w:rsid w:val="00D476D9"/>
    <w:rsid w:val="00D56603"/>
    <w:rsid w:val="00F22E9F"/>
    <w:rsid w:val="011C113C"/>
    <w:rsid w:val="011E6A90"/>
    <w:rsid w:val="01223DB7"/>
    <w:rsid w:val="01765D57"/>
    <w:rsid w:val="017B19FD"/>
    <w:rsid w:val="018A7FD1"/>
    <w:rsid w:val="01AA094D"/>
    <w:rsid w:val="01E04D52"/>
    <w:rsid w:val="020B0241"/>
    <w:rsid w:val="02151ACA"/>
    <w:rsid w:val="02616AE6"/>
    <w:rsid w:val="02944C61"/>
    <w:rsid w:val="02C1356F"/>
    <w:rsid w:val="02C33BA6"/>
    <w:rsid w:val="03222A73"/>
    <w:rsid w:val="03457DFB"/>
    <w:rsid w:val="03482F54"/>
    <w:rsid w:val="035A198B"/>
    <w:rsid w:val="035A67F9"/>
    <w:rsid w:val="03606C8E"/>
    <w:rsid w:val="0382396D"/>
    <w:rsid w:val="03AD0A5E"/>
    <w:rsid w:val="03DB5CDA"/>
    <w:rsid w:val="03F62599"/>
    <w:rsid w:val="040C2448"/>
    <w:rsid w:val="04386FB2"/>
    <w:rsid w:val="04DD108A"/>
    <w:rsid w:val="04FA6F5D"/>
    <w:rsid w:val="0522711F"/>
    <w:rsid w:val="053F51E0"/>
    <w:rsid w:val="05891DCA"/>
    <w:rsid w:val="05895DA1"/>
    <w:rsid w:val="05A1656B"/>
    <w:rsid w:val="05E53EB0"/>
    <w:rsid w:val="061862AA"/>
    <w:rsid w:val="062D1782"/>
    <w:rsid w:val="06805285"/>
    <w:rsid w:val="06983316"/>
    <w:rsid w:val="06B97F21"/>
    <w:rsid w:val="06F70903"/>
    <w:rsid w:val="0731284F"/>
    <w:rsid w:val="073E653D"/>
    <w:rsid w:val="0768237B"/>
    <w:rsid w:val="07842696"/>
    <w:rsid w:val="079454DA"/>
    <w:rsid w:val="079F3C9A"/>
    <w:rsid w:val="088874CA"/>
    <w:rsid w:val="08D162A1"/>
    <w:rsid w:val="08FA0EC0"/>
    <w:rsid w:val="0909751F"/>
    <w:rsid w:val="09291BC7"/>
    <w:rsid w:val="093307F1"/>
    <w:rsid w:val="09885DCD"/>
    <w:rsid w:val="098D0695"/>
    <w:rsid w:val="09B81140"/>
    <w:rsid w:val="09CA578D"/>
    <w:rsid w:val="09F84CCA"/>
    <w:rsid w:val="0A1323C1"/>
    <w:rsid w:val="0A247A69"/>
    <w:rsid w:val="0A6533CB"/>
    <w:rsid w:val="0A7D00CD"/>
    <w:rsid w:val="0A983B8F"/>
    <w:rsid w:val="0AA7744B"/>
    <w:rsid w:val="0ABE5AE4"/>
    <w:rsid w:val="0AD43329"/>
    <w:rsid w:val="0AFC1379"/>
    <w:rsid w:val="0B4D64F9"/>
    <w:rsid w:val="0B8D4C87"/>
    <w:rsid w:val="0BB7696F"/>
    <w:rsid w:val="0BDE4E9B"/>
    <w:rsid w:val="0C00496E"/>
    <w:rsid w:val="0C086F96"/>
    <w:rsid w:val="0C100575"/>
    <w:rsid w:val="0C230D45"/>
    <w:rsid w:val="0C483EC5"/>
    <w:rsid w:val="0C57284E"/>
    <w:rsid w:val="0C9D4038"/>
    <w:rsid w:val="0CA006E2"/>
    <w:rsid w:val="0CBF57B3"/>
    <w:rsid w:val="0CD57359"/>
    <w:rsid w:val="0D2B5EA3"/>
    <w:rsid w:val="0D96013E"/>
    <w:rsid w:val="0DD605F2"/>
    <w:rsid w:val="0DDA222E"/>
    <w:rsid w:val="0E007231"/>
    <w:rsid w:val="0E83376A"/>
    <w:rsid w:val="0F395A68"/>
    <w:rsid w:val="0F457B23"/>
    <w:rsid w:val="0F693C55"/>
    <w:rsid w:val="0F713C26"/>
    <w:rsid w:val="0F903C48"/>
    <w:rsid w:val="0FAF2A92"/>
    <w:rsid w:val="0FE93305"/>
    <w:rsid w:val="0FF34C30"/>
    <w:rsid w:val="10090B62"/>
    <w:rsid w:val="10176D11"/>
    <w:rsid w:val="102F2FD8"/>
    <w:rsid w:val="103103D7"/>
    <w:rsid w:val="10526B9A"/>
    <w:rsid w:val="10907E10"/>
    <w:rsid w:val="109322BC"/>
    <w:rsid w:val="1185128C"/>
    <w:rsid w:val="118A4636"/>
    <w:rsid w:val="12197A1B"/>
    <w:rsid w:val="122645C6"/>
    <w:rsid w:val="12293F67"/>
    <w:rsid w:val="124514F1"/>
    <w:rsid w:val="129A00F4"/>
    <w:rsid w:val="12DC5AE0"/>
    <w:rsid w:val="12E360D1"/>
    <w:rsid w:val="133F0210"/>
    <w:rsid w:val="13D1194F"/>
    <w:rsid w:val="13F56D99"/>
    <w:rsid w:val="14484F5D"/>
    <w:rsid w:val="14B958CA"/>
    <w:rsid w:val="14CC028A"/>
    <w:rsid w:val="15274EA7"/>
    <w:rsid w:val="155F6FEA"/>
    <w:rsid w:val="15A735E6"/>
    <w:rsid w:val="15DF5DBB"/>
    <w:rsid w:val="15E034AD"/>
    <w:rsid w:val="16363E02"/>
    <w:rsid w:val="164A2AEE"/>
    <w:rsid w:val="1670768E"/>
    <w:rsid w:val="16C133D4"/>
    <w:rsid w:val="16EF4E6D"/>
    <w:rsid w:val="171F0DCA"/>
    <w:rsid w:val="1729541A"/>
    <w:rsid w:val="176B2732"/>
    <w:rsid w:val="178E0000"/>
    <w:rsid w:val="17D036C3"/>
    <w:rsid w:val="17D62265"/>
    <w:rsid w:val="17DA117E"/>
    <w:rsid w:val="17E27FDD"/>
    <w:rsid w:val="17F47E84"/>
    <w:rsid w:val="180A2E6A"/>
    <w:rsid w:val="180A4CA8"/>
    <w:rsid w:val="18127B45"/>
    <w:rsid w:val="1844027C"/>
    <w:rsid w:val="18B134E9"/>
    <w:rsid w:val="18C660FB"/>
    <w:rsid w:val="18D70543"/>
    <w:rsid w:val="19196F81"/>
    <w:rsid w:val="19540726"/>
    <w:rsid w:val="198A1CF0"/>
    <w:rsid w:val="19C470C8"/>
    <w:rsid w:val="19F30617"/>
    <w:rsid w:val="19F94C4A"/>
    <w:rsid w:val="1A255FB8"/>
    <w:rsid w:val="1AC55CA7"/>
    <w:rsid w:val="1B0405C0"/>
    <w:rsid w:val="1B5D6939"/>
    <w:rsid w:val="1B6F5919"/>
    <w:rsid w:val="1BC670A8"/>
    <w:rsid w:val="1C1918CE"/>
    <w:rsid w:val="1C333D9F"/>
    <w:rsid w:val="1CA159A0"/>
    <w:rsid w:val="1CD044CB"/>
    <w:rsid w:val="1D1D07BA"/>
    <w:rsid w:val="1D27707A"/>
    <w:rsid w:val="1D810611"/>
    <w:rsid w:val="1D8415DF"/>
    <w:rsid w:val="1D8E046E"/>
    <w:rsid w:val="1DC64052"/>
    <w:rsid w:val="1E82181A"/>
    <w:rsid w:val="1EAF092F"/>
    <w:rsid w:val="1EC641DB"/>
    <w:rsid w:val="1EE6027D"/>
    <w:rsid w:val="1F117A4B"/>
    <w:rsid w:val="1FE1480C"/>
    <w:rsid w:val="1FF87AE2"/>
    <w:rsid w:val="205A5AED"/>
    <w:rsid w:val="205D162A"/>
    <w:rsid w:val="209919AD"/>
    <w:rsid w:val="20B357EA"/>
    <w:rsid w:val="20BD1DDE"/>
    <w:rsid w:val="20E714F0"/>
    <w:rsid w:val="216678C7"/>
    <w:rsid w:val="2178170C"/>
    <w:rsid w:val="223D5A8A"/>
    <w:rsid w:val="2254329D"/>
    <w:rsid w:val="22574FCD"/>
    <w:rsid w:val="22A120E2"/>
    <w:rsid w:val="22C369D2"/>
    <w:rsid w:val="22C97AC5"/>
    <w:rsid w:val="22FD7853"/>
    <w:rsid w:val="236250B6"/>
    <w:rsid w:val="23861134"/>
    <w:rsid w:val="23AF6CFF"/>
    <w:rsid w:val="24281BF0"/>
    <w:rsid w:val="246D7FF3"/>
    <w:rsid w:val="246F480A"/>
    <w:rsid w:val="247110C7"/>
    <w:rsid w:val="24C11784"/>
    <w:rsid w:val="250F6BEE"/>
    <w:rsid w:val="25332FF2"/>
    <w:rsid w:val="255C47FF"/>
    <w:rsid w:val="25627782"/>
    <w:rsid w:val="259156F8"/>
    <w:rsid w:val="25A60B74"/>
    <w:rsid w:val="25B763DF"/>
    <w:rsid w:val="25CF2BA5"/>
    <w:rsid w:val="25DE13EA"/>
    <w:rsid w:val="267746D2"/>
    <w:rsid w:val="26DA59D8"/>
    <w:rsid w:val="26DF3D7B"/>
    <w:rsid w:val="27764DA0"/>
    <w:rsid w:val="2779393E"/>
    <w:rsid w:val="27983AE2"/>
    <w:rsid w:val="27B81A00"/>
    <w:rsid w:val="284A7204"/>
    <w:rsid w:val="286634A0"/>
    <w:rsid w:val="28694136"/>
    <w:rsid w:val="28746E1D"/>
    <w:rsid w:val="289E1A8B"/>
    <w:rsid w:val="29285B43"/>
    <w:rsid w:val="293C2694"/>
    <w:rsid w:val="298579A0"/>
    <w:rsid w:val="29AB7F3F"/>
    <w:rsid w:val="29F42EAA"/>
    <w:rsid w:val="2A2433B6"/>
    <w:rsid w:val="2A27154E"/>
    <w:rsid w:val="2A46314F"/>
    <w:rsid w:val="2A8220BE"/>
    <w:rsid w:val="2AC5738C"/>
    <w:rsid w:val="2AEA0626"/>
    <w:rsid w:val="2AEE6D62"/>
    <w:rsid w:val="2B0B2F8D"/>
    <w:rsid w:val="2B1E0CAF"/>
    <w:rsid w:val="2B2179EE"/>
    <w:rsid w:val="2B5E7357"/>
    <w:rsid w:val="2B747D68"/>
    <w:rsid w:val="2B9A3D81"/>
    <w:rsid w:val="2BA2747D"/>
    <w:rsid w:val="2BA305F9"/>
    <w:rsid w:val="2C324A12"/>
    <w:rsid w:val="2C4D77D4"/>
    <w:rsid w:val="2C5E3739"/>
    <w:rsid w:val="2C6B09C5"/>
    <w:rsid w:val="2C952483"/>
    <w:rsid w:val="2CAF5245"/>
    <w:rsid w:val="2D042B27"/>
    <w:rsid w:val="2D5345C4"/>
    <w:rsid w:val="2D642550"/>
    <w:rsid w:val="2DC04654"/>
    <w:rsid w:val="2DC60A9E"/>
    <w:rsid w:val="2DCC42B8"/>
    <w:rsid w:val="2DD269E6"/>
    <w:rsid w:val="2DFD4BAB"/>
    <w:rsid w:val="2E1D1525"/>
    <w:rsid w:val="2E1E3D94"/>
    <w:rsid w:val="2E8A5F1D"/>
    <w:rsid w:val="2EAE5EA6"/>
    <w:rsid w:val="2EDA6E16"/>
    <w:rsid w:val="2EDF4591"/>
    <w:rsid w:val="2EE27953"/>
    <w:rsid w:val="2EEC7A71"/>
    <w:rsid w:val="2F0467B2"/>
    <w:rsid w:val="2F595043"/>
    <w:rsid w:val="2FE12FB6"/>
    <w:rsid w:val="2FE651DD"/>
    <w:rsid w:val="30527AD1"/>
    <w:rsid w:val="306A0693"/>
    <w:rsid w:val="309408C0"/>
    <w:rsid w:val="30C50C85"/>
    <w:rsid w:val="30EB53F5"/>
    <w:rsid w:val="31065046"/>
    <w:rsid w:val="311D31D8"/>
    <w:rsid w:val="31586B7F"/>
    <w:rsid w:val="316568E4"/>
    <w:rsid w:val="31D3583D"/>
    <w:rsid w:val="320753E8"/>
    <w:rsid w:val="3210307F"/>
    <w:rsid w:val="32292413"/>
    <w:rsid w:val="322B7461"/>
    <w:rsid w:val="32541F05"/>
    <w:rsid w:val="327D5CCC"/>
    <w:rsid w:val="328D580E"/>
    <w:rsid w:val="329165F7"/>
    <w:rsid w:val="32A57CE5"/>
    <w:rsid w:val="32B14989"/>
    <w:rsid w:val="32DD6D95"/>
    <w:rsid w:val="33224056"/>
    <w:rsid w:val="335B17F0"/>
    <w:rsid w:val="33775CF0"/>
    <w:rsid w:val="33832332"/>
    <w:rsid w:val="33A82921"/>
    <w:rsid w:val="33BF02DC"/>
    <w:rsid w:val="33C66164"/>
    <w:rsid w:val="34036F12"/>
    <w:rsid w:val="34780E74"/>
    <w:rsid w:val="34ED49D1"/>
    <w:rsid w:val="34FE31C4"/>
    <w:rsid w:val="351A019C"/>
    <w:rsid w:val="356B41B6"/>
    <w:rsid w:val="356E7B7A"/>
    <w:rsid w:val="35BE02B7"/>
    <w:rsid w:val="35E62654"/>
    <w:rsid w:val="360107E6"/>
    <w:rsid w:val="36470FA2"/>
    <w:rsid w:val="36497E69"/>
    <w:rsid w:val="367012FE"/>
    <w:rsid w:val="36DF1E61"/>
    <w:rsid w:val="36ED5774"/>
    <w:rsid w:val="37897A6C"/>
    <w:rsid w:val="37B420C6"/>
    <w:rsid w:val="38B56B2D"/>
    <w:rsid w:val="38DA49B8"/>
    <w:rsid w:val="39493B9A"/>
    <w:rsid w:val="396876C7"/>
    <w:rsid w:val="3992119F"/>
    <w:rsid w:val="3997040B"/>
    <w:rsid w:val="39984FD9"/>
    <w:rsid w:val="39BE24C7"/>
    <w:rsid w:val="39E51277"/>
    <w:rsid w:val="3A260337"/>
    <w:rsid w:val="3AA7357C"/>
    <w:rsid w:val="3B3A0FB9"/>
    <w:rsid w:val="3B450E23"/>
    <w:rsid w:val="3B5C4B52"/>
    <w:rsid w:val="3B8C13DC"/>
    <w:rsid w:val="3BA164A9"/>
    <w:rsid w:val="3BA549D6"/>
    <w:rsid w:val="3BD777B9"/>
    <w:rsid w:val="3BFD211B"/>
    <w:rsid w:val="3BFF6F43"/>
    <w:rsid w:val="3C0353D8"/>
    <w:rsid w:val="3C2221A4"/>
    <w:rsid w:val="3C577774"/>
    <w:rsid w:val="3C6F016E"/>
    <w:rsid w:val="3C807CF5"/>
    <w:rsid w:val="3C9D23C8"/>
    <w:rsid w:val="3CBC46D9"/>
    <w:rsid w:val="3D19205E"/>
    <w:rsid w:val="3D87612D"/>
    <w:rsid w:val="3D997B83"/>
    <w:rsid w:val="3D9E3E67"/>
    <w:rsid w:val="3E202DF5"/>
    <w:rsid w:val="3E844945"/>
    <w:rsid w:val="3EC2230B"/>
    <w:rsid w:val="3ED44A28"/>
    <w:rsid w:val="3EE47131"/>
    <w:rsid w:val="3EE56339"/>
    <w:rsid w:val="3EF9276D"/>
    <w:rsid w:val="3F300D1B"/>
    <w:rsid w:val="3F4614E9"/>
    <w:rsid w:val="3F591CA0"/>
    <w:rsid w:val="3F68578F"/>
    <w:rsid w:val="3F7A0F3B"/>
    <w:rsid w:val="3FDD3ECF"/>
    <w:rsid w:val="40327685"/>
    <w:rsid w:val="40372AA2"/>
    <w:rsid w:val="40810BDA"/>
    <w:rsid w:val="40A03600"/>
    <w:rsid w:val="40D959B5"/>
    <w:rsid w:val="41297BB9"/>
    <w:rsid w:val="41444CE3"/>
    <w:rsid w:val="415431C4"/>
    <w:rsid w:val="41664081"/>
    <w:rsid w:val="417C31ED"/>
    <w:rsid w:val="41970648"/>
    <w:rsid w:val="41A21822"/>
    <w:rsid w:val="420032C8"/>
    <w:rsid w:val="42150D7F"/>
    <w:rsid w:val="42617787"/>
    <w:rsid w:val="42631E1D"/>
    <w:rsid w:val="42CD0267"/>
    <w:rsid w:val="42F33004"/>
    <w:rsid w:val="42FF6D85"/>
    <w:rsid w:val="43003609"/>
    <w:rsid w:val="430F0D8E"/>
    <w:rsid w:val="432D30F1"/>
    <w:rsid w:val="43303BFB"/>
    <w:rsid w:val="437D13E8"/>
    <w:rsid w:val="43CE74A7"/>
    <w:rsid w:val="440E4942"/>
    <w:rsid w:val="441078C2"/>
    <w:rsid w:val="44473698"/>
    <w:rsid w:val="445F6B41"/>
    <w:rsid w:val="44910B10"/>
    <w:rsid w:val="449F38D2"/>
    <w:rsid w:val="44A60ED4"/>
    <w:rsid w:val="44A70AF8"/>
    <w:rsid w:val="44A8366B"/>
    <w:rsid w:val="44B040ED"/>
    <w:rsid w:val="44B60AAD"/>
    <w:rsid w:val="44E81541"/>
    <w:rsid w:val="45074407"/>
    <w:rsid w:val="45334ACC"/>
    <w:rsid w:val="45346908"/>
    <w:rsid w:val="454B69D4"/>
    <w:rsid w:val="455417FD"/>
    <w:rsid w:val="457118FF"/>
    <w:rsid w:val="45C75564"/>
    <w:rsid w:val="4600075B"/>
    <w:rsid w:val="46150DF3"/>
    <w:rsid w:val="46165A31"/>
    <w:rsid w:val="46536ADC"/>
    <w:rsid w:val="466B09A6"/>
    <w:rsid w:val="467C5032"/>
    <w:rsid w:val="46BA2DEC"/>
    <w:rsid w:val="46BB3947"/>
    <w:rsid w:val="46D5626E"/>
    <w:rsid w:val="46E42CB5"/>
    <w:rsid w:val="47022FB9"/>
    <w:rsid w:val="472809DE"/>
    <w:rsid w:val="47560D72"/>
    <w:rsid w:val="477F6EE3"/>
    <w:rsid w:val="47A23F30"/>
    <w:rsid w:val="47CE354B"/>
    <w:rsid w:val="47D209FF"/>
    <w:rsid w:val="47FC6FB5"/>
    <w:rsid w:val="48012AC3"/>
    <w:rsid w:val="48121356"/>
    <w:rsid w:val="483478E9"/>
    <w:rsid w:val="4851114B"/>
    <w:rsid w:val="48653621"/>
    <w:rsid w:val="487619EA"/>
    <w:rsid w:val="487C7DFE"/>
    <w:rsid w:val="48805572"/>
    <w:rsid w:val="488C2848"/>
    <w:rsid w:val="48A47D5C"/>
    <w:rsid w:val="48D4597B"/>
    <w:rsid w:val="48EF16C9"/>
    <w:rsid w:val="492775CB"/>
    <w:rsid w:val="492B0923"/>
    <w:rsid w:val="492E0907"/>
    <w:rsid w:val="498A5159"/>
    <w:rsid w:val="49AE7B65"/>
    <w:rsid w:val="4A8D2DDD"/>
    <w:rsid w:val="4A9B4083"/>
    <w:rsid w:val="4ADC68BC"/>
    <w:rsid w:val="4B6D1C99"/>
    <w:rsid w:val="4B8A4CAC"/>
    <w:rsid w:val="4BD028C8"/>
    <w:rsid w:val="4BDA23BD"/>
    <w:rsid w:val="4C093543"/>
    <w:rsid w:val="4C113E36"/>
    <w:rsid w:val="4C2A34B0"/>
    <w:rsid w:val="4C65227C"/>
    <w:rsid w:val="4C757BE9"/>
    <w:rsid w:val="4CAB6423"/>
    <w:rsid w:val="4D0E0191"/>
    <w:rsid w:val="4D1E5B93"/>
    <w:rsid w:val="4D57732A"/>
    <w:rsid w:val="4D6F6CD2"/>
    <w:rsid w:val="4D8F222F"/>
    <w:rsid w:val="4D901F70"/>
    <w:rsid w:val="4D9A3D6D"/>
    <w:rsid w:val="4DB149AA"/>
    <w:rsid w:val="4DB50421"/>
    <w:rsid w:val="4DC97252"/>
    <w:rsid w:val="4DDC5584"/>
    <w:rsid w:val="4E2B7333"/>
    <w:rsid w:val="4E2E32F0"/>
    <w:rsid w:val="4E4E6078"/>
    <w:rsid w:val="4EC838B7"/>
    <w:rsid w:val="4EE52731"/>
    <w:rsid w:val="4EEC6169"/>
    <w:rsid w:val="4F0C5140"/>
    <w:rsid w:val="4F0D301A"/>
    <w:rsid w:val="4F114260"/>
    <w:rsid w:val="4F5A163C"/>
    <w:rsid w:val="4F871637"/>
    <w:rsid w:val="4FAB2587"/>
    <w:rsid w:val="4FAF2AE6"/>
    <w:rsid w:val="50214874"/>
    <w:rsid w:val="50455007"/>
    <w:rsid w:val="50B031CF"/>
    <w:rsid w:val="50DE6667"/>
    <w:rsid w:val="5108640C"/>
    <w:rsid w:val="51254D04"/>
    <w:rsid w:val="514560AE"/>
    <w:rsid w:val="515D4B3A"/>
    <w:rsid w:val="51E13B29"/>
    <w:rsid w:val="52417249"/>
    <w:rsid w:val="524D13AE"/>
    <w:rsid w:val="53104245"/>
    <w:rsid w:val="531E0EFC"/>
    <w:rsid w:val="53464648"/>
    <w:rsid w:val="53502636"/>
    <w:rsid w:val="53846323"/>
    <w:rsid w:val="538F5302"/>
    <w:rsid w:val="539954E7"/>
    <w:rsid w:val="53B32524"/>
    <w:rsid w:val="53BB4E4A"/>
    <w:rsid w:val="541144FC"/>
    <w:rsid w:val="548749E9"/>
    <w:rsid w:val="54A75FAE"/>
    <w:rsid w:val="54DD3301"/>
    <w:rsid w:val="550753EE"/>
    <w:rsid w:val="55394DE9"/>
    <w:rsid w:val="55722E07"/>
    <w:rsid w:val="55822E21"/>
    <w:rsid w:val="55BF432B"/>
    <w:rsid w:val="55C623B5"/>
    <w:rsid w:val="56721E5F"/>
    <w:rsid w:val="569B37D2"/>
    <w:rsid w:val="56D52BBB"/>
    <w:rsid w:val="56EF612B"/>
    <w:rsid w:val="56FB47D8"/>
    <w:rsid w:val="57063FD5"/>
    <w:rsid w:val="573941DB"/>
    <w:rsid w:val="57AA2F82"/>
    <w:rsid w:val="57CE0B09"/>
    <w:rsid w:val="57D0558F"/>
    <w:rsid w:val="57ED4920"/>
    <w:rsid w:val="58057A46"/>
    <w:rsid w:val="58102D52"/>
    <w:rsid w:val="59137372"/>
    <w:rsid w:val="594C69C8"/>
    <w:rsid w:val="59617A31"/>
    <w:rsid w:val="59692C2D"/>
    <w:rsid w:val="59AD4D9E"/>
    <w:rsid w:val="59BA5C44"/>
    <w:rsid w:val="59D2012D"/>
    <w:rsid w:val="59E21BDA"/>
    <w:rsid w:val="59F41E9E"/>
    <w:rsid w:val="59FE5B45"/>
    <w:rsid w:val="5A716DB7"/>
    <w:rsid w:val="5A8B47D1"/>
    <w:rsid w:val="5AC21EE6"/>
    <w:rsid w:val="5AE35953"/>
    <w:rsid w:val="5B00212E"/>
    <w:rsid w:val="5B1111EB"/>
    <w:rsid w:val="5B3B7AB1"/>
    <w:rsid w:val="5B617B3E"/>
    <w:rsid w:val="5BC20082"/>
    <w:rsid w:val="5C331080"/>
    <w:rsid w:val="5C4965EC"/>
    <w:rsid w:val="5C4A2D44"/>
    <w:rsid w:val="5C7935F3"/>
    <w:rsid w:val="5C9652BF"/>
    <w:rsid w:val="5CCE1EE8"/>
    <w:rsid w:val="5CE9363C"/>
    <w:rsid w:val="5CF76481"/>
    <w:rsid w:val="5D495D64"/>
    <w:rsid w:val="5D70461F"/>
    <w:rsid w:val="5D740400"/>
    <w:rsid w:val="5D7E0FB5"/>
    <w:rsid w:val="5DB453A4"/>
    <w:rsid w:val="5E022272"/>
    <w:rsid w:val="5E242313"/>
    <w:rsid w:val="5E360273"/>
    <w:rsid w:val="5E757978"/>
    <w:rsid w:val="5EB247D4"/>
    <w:rsid w:val="5EE26B26"/>
    <w:rsid w:val="5EF446D7"/>
    <w:rsid w:val="5EFB58BD"/>
    <w:rsid w:val="5F1E57CB"/>
    <w:rsid w:val="5F3A0675"/>
    <w:rsid w:val="5F6655F6"/>
    <w:rsid w:val="5F682BF2"/>
    <w:rsid w:val="5FC54E59"/>
    <w:rsid w:val="5FD743B7"/>
    <w:rsid w:val="5FF94E7C"/>
    <w:rsid w:val="600672BE"/>
    <w:rsid w:val="600F68B0"/>
    <w:rsid w:val="608B7056"/>
    <w:rsid w:val="60B9184C"/>
    <w:rsid w:val="60FC5B25"/>
    <w:rsid w:val="614A22E7"/>
    <w:rsid w:val="618C1C3A"/>
    <w:rsid w:val="62A236CD"/>
    <w:rsid w:val="62C07613"/>
    <w:rsid w:val="62DC5CCB"/>
    <w:rsid w:val="630578AD"/>
    <w:rsid w:val="6368025C"/>
    <w:rsid w:val="63E605B3"/>
    <w:rsid w:val="63F4141A"/>
    <w:rsid w:val="63F50EE4"/>
    <w:rsid w:val="64013C09"/>
    <w:rsid w:val="64055F8C"/>
    <w:rsid w:val="64073622"/>
    <w:rsid w:val="64293FE3"/>
    <w:rsid w:val="64392311"/>
    <w:rsid w:val="646E222D"/>
    <w:rsid w:val="64864FA8"/>
    <w:rsid w:val="648861F8"/>
    <w:rsid w:val="64A92963"/>
    <w:rsid w:val="64C25BF8"/>
    <w:rsid w:val="64E82229"/>
    <w:rsid w:val="65325A62"/>
    <w:rsid w:val="658759A1"/>
    <w:rsid w:val="65A25A5D"/>
    <w:rsid w:val="661C6F5D"/>
    <w:rsid w:val="66217588"/>
    <w:rsid w:val="665E7346"/>
    <w:rsid w:val="668F20D3"/>
    <w:rsid w:val="66D711CA"/>
    <w:rsid w:val="66F266FD"/>
    <w:rsid w:val="66F75FA6"/>
    <w:rsid w:val="675A7A72"/>
    <w:rsid w:val="67BF1C40"/>
    <w:rsid w:val="67E26BCD"/>
    <w:rsid w:val="67EB3845"/>
    <w:rsid w:val="68645190"/>
    <w:rsid w:val="68F00650"/>
    <w:rsid w:val="68F961E2"/>
    <w:rsid w:val="693407EA"/>
    <w:rsid w:val="69506511"/>
    <w:rsid w:val="69AE25D7"/>
    <w:rsid w:val="69C441F4"/>
    <w:rsid w:val="69C83A31"/>
    <w:rsid w:val="6A0C4146"/>
    <w:rsid w:val="6A1B7521"/>
    <w:rsid w:val="6A43163A"/>
    <w:rsid w:val="6A8A3B47"/>
    <w:rsid w:val="6AD41C7E"/>
    <w:rsid w:val="6ADA32B0"/>
    <w:rsid w:val="6B040EF8"/>
    <w:rsid w:val="6B4823B4"/>
    <w:rsid w:val="6B4E22FC"/>
    <w:rsid w:val="6B87247D"/>
    <w:rsid w:val="6B961A00"/>
    <w:rsid w:val="6B964BBC"/>
    <w:rsid w:val="6BA15596"/>
    <w:rsid w:val="6BCC0216"/>
    <w:rsid w:val="6BD03D05"/>
    <w:rsid w:val="6C093868"/>
    <w:rsid w:val="6C3646DD"/>
    <w:rsid w:val="6CC03375"/>
    <w:rsid w:val="6CCE2290"/>
    <w:rsid w:val="6D7864C4"/>
    <w:rsid w:val="6D9D1DD7"/>
    <w:rsid w:val="6E097B7B"/>
    <w:rsid w:val="6E126EB5"/>
    <w:rsid w:val="6E310BF2"/>
    <w:rsid w:val="6E9B6FCC"/>
    <w:rsid w:val="6EAE7B08"/>
    <w:rsid w:val="6ED51706"/>
    <w:rsid w:val="6EF373F0"/>
    <w:rsid w:val="6F13270F"/>
    <w:rsid w:val="6FAD1386"/>
    <w:rsid w:val="6FF13869"/>
    <w:rsid w:val="700D482A"/>
    <w:rsid w:val="700E441B"/>
    <w:rsid w:val="70CB0499"/>
    <w:rsid w:val="70F61EB9"/>
    <w:rsid w:val="71002F86"/>
    <w:rsid w:val="711519E4"/>
    <w:rsid w:val="712E6BAE"/>
    <w:rsid w:val="713F23B2"/>
    <w:rsid w:val="71410A77"/>
    <w:rsid w:val="718B3739"/>
    <w:rsid w:val="71965197"/>
    <w:rsid w:val="71AB7DBF"/>
    <w:rsid w:val="71BD7433"/>
    <w:rsid w:val="71C77D39"/>
    <w:rsid w:val="724C27E9"/>
    <w:rsid w:val="72996CD7"/>
    <w:rsid w:val="72FD499A"/>
    <w:rsid w:val="73147019"/>
    <w:rsid w:val="73A009D1"/>
    <w:rsid w:val="73AD1152"/>
    <w:rsid w:val="73BD2332"/>
    <w:rsid w:val="73C020E7"/>
    <w:rsid w:val="73C063C5"/>
    <w:rsid w:val="73C92268"/>
    <w:rsid w:val="74100036"/>
    <w:rsid w:val="741A6E48"/>
    <w:rsid w:val="74444BEB"/>
    <w:rsid w:val="745243C8"/>
    <w:rsid w:val="74647B83"/>
    <w:rsid w:val="748F15CD"/>
    <w:rsid w:val="74BE6DAF"/>
    <w:rsid w:val="751B2FB2"/>
    <w:rsid w:val="753F28FB"/>
    <w:rsid w:val="75534FA8"/>
    <w:rsid w:val="75852935"/>
    <w:rsid w:val="7588670F"/>
    <w:rsid w:val="75CA5BFC"/>
    <w:rsid w:val="75CB4D07"/>
    <w:rsid w:val="76406F9C"/>
    <w:rsid w:val="766F29A1"/>
    <w:rsid w:val="76804F78"/>
    <w:rsid w:val="76B21C08"/>
    <w:rsid w:val="76F3475A"/>
    <w:rsid w:val="77254BE4"/>
    <w:rsid w:val="7732482C"/>
    <w:rsid w:val="773C4147"/>
    <w:rsid w:val="77AC1621"/>
    <w:rsid w:val="77BB34DA"/>
    <w:rsid w:val="77CF14B2"/>
    <w:rsid w:val="77F17483"/>
    <w:rsid w:val="783A7676"/>
    <w:rsid w:val="7857318B"/>
    <w:rsid w:val="78E751ED"/>
    <w:rsid w:val="79517126"/>
    <w:rsid w:val="7A0B6033"/>
    <w:rsid w:val="7A1A6D9B"/>
    <w:rsid w:val="7A356A34"/>
    <w:rsid w:val="7A8878D4"/>
    <w:rsid w:val="7AA96313"/>
    <w:rsid w:val="7AE14D55"/>
    <w:rsid w:val="7BB43D38"/>
    <w:rsid w:val="7C12017B"/>
    <w:rsid w:val="7C124E7C"/>
    <w:rsid w:val="7C5F6D7F"/>
    <w:rsid w:val="7C9A32BF"/>
    <w:rsid w:val="7CEC256E"/>
    <w:rsid w:val="7D0C61B2"/>
    <w:rsid w:val="7D392B44"/>
    <w:rsid w:val="7D6C435D"/>
    <w:rsid w:val="7D7C4B43"/>
    <w:rsid w:val="7D9D052B"/>
    <w:rsid w:val="7DAB15A7"/>
    <w:rsid w:val="7DAC77F4"/>
    <w:rsid w:val="7DF41E06"/>
    <w:rsid w:val="7E080901"/>
    <w:rsid w:val="7E0A1771"/>
    <w:rsid w:val="7E322BAE"/>
    <w:rsid w:val="7E9565A2"/>
    <w:rsid w:val="7EEA2877"/>
    <w:rsid w:val="7EED6047"/>
    <w:rsid w:val="7F8A48EA"/>
    <w:rsid w:val="7FC2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Hyperlink"/>
    <w:basedOn w:val="8"/>
    <w:unhideWhenUsed/>
    <w:qFormat/>
    <w:uiPriority w:val="99"/>
    <w:rPr>
      <w:color w:val="0000FF"/>
      <w:u w:val="single"/>
    </w:rPr>
  </w:style>
  <w:style w:type="paragraph" w:customStyle="1" w:styleId="10">
    <w:name w:val="Fließtext"/>
    <w:basedOn w:val="1"/>
    <w:qFormat/>
    <w:uiPriority w:val="0"/>
    <w:pPr>
      <w:overflowPunct w:val="0"/>
      <w:autoSpaceDE w:val="0"/>
      <w:autoSpaceDN w:val="0"/>
      <w:adjustRightInd w:val="0"/>
      <w:textAlignment w:val="baseline"/>
    </w:pPr>
    <w:rPr>
      <w:kern w:val="28"/>
      <w:szCs w:val="20"/>
    </w:rPr>
  </w:style>
  <w:style w:type="character" w:customStyle="1" w:styleId="11">
    <w:name w:val="标题 3 字符"/>
    <w:basedOn w:val="8"/>
    <w:link w:val="3"/>
    <w:qFormat/>
    <w:uiPriority w:val="9"/>
    <w:rPr>
      <w:rFonts w:ascii="宋体" w:hAnsi="宋体" w:eastAsia="宋体" w:cs="宋体"/>
      <w:b/>
      <w:bCs/>
      <w:kern w:val="0"/>
      <w:sz w:val="27"/>
      <w:szCs w:val="27"/>
    </w:rPr>
  </w:style>
  <w:style w:type="paragraph" w:customStyle="1" w:styleId="12">
    <w:name w:val="p"/>
    <w:basedOn w:val="1"/>
    <w:qFormat/>
    <w:uiPriority w:val="0"/>
    <w:pPr>
      <w:widowControl/>
      <w:spacing w:before="100" w:beforeAutospacing="1" w:after="100" w:afterAutospacing="1"/>
      <w:jc w:val="left"/>
    </w:pPr>
    <w:rPr>
      <w:rFonts w:cs="Times New Roman"/>
      <w:kern w:val="0"/>
      <w:sz w:val="24"/>
    </w:rPr>
  </w:style>
  <w:style w:type="character" w:customStyle="1" w:styleId="13">
    <w:name w:val="15"/>
    <w:basedOn w:val="8"/>
    <w:qFormat/>
    <w:uiPriority w:val="0"/>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paragraph" w:customStyle="1" w:styleId="16">
    <w:name w:val="列表段落1"/>
    <w:basedOn w:val="1"/>
    <w:qFormat/>
    <w:uiPriority w:val="0"/>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13</Pages>
  <Words>893</Words>
  <Characters>962</Characters>
  <Lines>27</Lines>
  <Paragraphs>7</Paragraphs>
  <TotalTime>356</TotalTime>
  <ScaleCrop>false</ScaleCrop>
  <LinksUpToDate>false</LinksUpToDate>
  <CharactersWithSpaces>1035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2022-11-16T03:05:00Z</dcterms:created>
  <dc:creator>China</dc:creator>
  <cp:lastModifiedBy>世皇</cp:lastModifiedBy>
  <cp:lastPrinted>2025-02-19T07:44:49Z</cp:lastPrinted>
  <dcterms:modified xsi:type="dcterms:W3CDTF">2025-02-19T09:19:21Z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52FF189FDD4C479AA756E042AB2379C4_13</vt:lpwstr>
  </property>
  <property fmtid="{D5CDD505-2E9C-101B-9397-08002B2CF9AE}" pid="4" name="KSOTemplateDocerSaveRecord">
    <vt:lpwstr>eyJoZGlkIjoiNjQ5NDkxOGVjMmM3ODM4Yzc2OWIyOWExY2EyOGJlNmIiLCJ1c2VySWQiOiIxMTY5NDkyNzU5In0=</vt:lpwstr>
  </property>
</Properties>
</file>