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2B757">
      <w:pPr>
        <w:pStyle w:val="4"/>
        <w:spacing w:before="231" w:line="220" w:lineRule="auto"/>
        <w:ind w:left="2835"/>
        <w:outlineLvl w:val="0"/>
        <w:rPr>
          <w:color w:val="auto"/>
          <w:sz w:val="71"/>
          <w:szCs w:val="71"/>
        </w:rPr>
      </w:pPr>
      <w:r>
        <w:rPr>
          <w:rFonts w:hint="eastAsia"/>
          <w:b/>
          <w:bCs/>
          <w:color w:val="auto"/>
          <w:spacing w:val="91"/>
          <w:sz w:val="71"/>
          <w:szCs w:val="71"/>
          <w:lang w:val="en-US" w:eastAsia="zh-CN"/>
        </w:rPr>
        <w:t>招标</w:t>
      </w:r>
      <w:r>
        <w:rPr>
          <w:b/>
          <w:bCs/>
          <w:color w:val="auto"/>
          <w:spacing w:val="91"/>
          <w:sz w:val="71"/>
          <w:szCs w:val="71"/>
        </w:rPr>
        <w:t>文件</w:t>
      </w:r>
    </w:p>
    <w:p w14:paraId="408AFA0D">
      <w:pPr>
        <w:spacing w:line="256" w:lineRule="auto"/>
        <w:rPr>
          <w:rFonts w:ascii="Arial"/>
          <w:color w:val="auto"/>
          <w:sz w:val="21"/>
        </w:rPr>
      </w:pPr>
    </w:p>
    <w:p w14:paraId="2E0AC998">
      <w:pPr>
        <w:spacing w:line="256" w:lineRule="auto"/>
        <w:rPr>
          <w:rFonts w:ascii="Arial"/>
          <w:color w:val="auto"/>
          <w:sz w:val="21"/>
        </w:rPr>
      </w:pPr>
    </w:p>
    <w:p w14:paraId="5A9D67E3">
      <w:pPr>
        <w:spacing w:line="256" w:lineRule="auto"/>
        <w:rPr>
          <w:rFonts w:ascii="Arial"/>
          <w:color w:val="auto"/>
          <w:sz w:val="21"/>
        </w:rPr>
      </w:pPr>
    </w:p>
    <w:p w14:paraId="650561BD">
      <w:pPr>
        <w:spacing w:line="256" w:lineRule="auto"/>
        <w:rPr>
          <w:rFonts w:ascii="Arial"/>
          <w:color w:val="auto"/>
          <w:sz w:val="21"/>
        </w:rPr>
      </w:pPr>
    </w:p>
    <w:p w14:paraId="4689DE29">
      <w:pPr>
        <w:spacing w:line="256" w:lineRule="auto"/>
        <w:rPr>
          <w:rFonts w:ascii="Arial"/>
          <w:color w:val="auto"/>
          <w:sz w:val="21"/>
        </w:rPr>
      </w:pPr>
    </w:p>
    <w:p w14:paraId="472798BD">
      <w:pPr>
        <w:spacing w:line="256" w:lineRule="auto"/>
        <w:rPr>
          <w:rFonts w:ascii="Arial"/>
          <w:color w:val="auto"/>
          <w:sz w:val="21"/>
        </w:rPr>
      </w:pPr>
    </w:p>
    <w:p w14:paraId="5FC95702">
      <w:pPr>
        <w:spacing w:line="256" w:lineRule="auto"/>
        <w:rPr>
          <w:rFonts w:ascii="Arial"/>
          <w:color w:val="auto"/>
          <w:sz w:val="21"/>
        </w:rPr>
      </w:pPr>
    </w:p>
    <w:p w14:paraId="55E134A8">
      <w:pPr>
        <w:spacing w:line="256" w:lineRule="auto"/>
        <w:rPr>
          <w:rFonts w:ascii="Arial"/>
          <w:color w:val="auto"/>
          <w:sz w:val="21"/>
        </w:rPr>
      </w:pPr>
    </w:p>
    <w:p w14:paraId="0CF397A3">
      <w:pPr>
        <w:spacing w:line="256" w:lineRule="auto"/>
        <w:rPr>
          <w:rFonts w:ascii="Arial"/>
          <w:color w:val="auto"/>
          <w:sz w:val="21"/>
        </w:rPr>
      </w:pPr>
    </w:p>
    <w:p w14:paraId="07166453">
      <w:pPr>
        <w:spacing w:line="256" w:lineRule="auto"/>
        <w:rPr>
          <w:rFonts w:ascii="Arial"/>
          <w:color w:val="auto"/>
          <w:sz w:val="21"/>
        </w:rPr>
      </w:pPr>
    </w:p>
    <w:p w14:paraId="1FF4AF59">
      <w:pPr>
        <w:pStyle w:val="4"/>
        <w:spacing w:before="113" w:line="223" w:lineRule="auto"/>
        <w:ind w:left="1"/>
        <w:rPr>
          <w:rFonts w:hint="eastAsia"/>
          <w:b/>
          <w:bCs/>
          <w:color w:val="auto"/>
          <w:spacing w:val="-9"/>
          <w:u w:val="single" w:color="auto"/>
          <w:lang w:val="en-US" w:eastAsia="zh-CN"/>
        </w:rPr>
      </w:pPr>
      <w:r>
        <w:rPr>
          <w:b/>
          <w:bCs/>
          <w:color w:val="auto"/>
          <w:spacing w:val="-14"/>
        </w:rPr>
        <w:t>项</w:t>
      </w:r>
      <w:r>
        <w:rPr>
          <w:color w:val="auto"/>
          <w:spacing w:val="-14"/>
        </w:rPr>
        <w:t xml:space="preserve"> </w:t>
      </w:r>
      <w:r>
        <w:rPr>
          <w:b/>
          <w:bCs/>
          <w:color w:val="auto"/>
          <w:spacing w:val="-14"/>
        </w:rPr>
        <w:t>目</w:t>
      </w:r>
      <w:r>
        <w:rPr>
          <w:color w:val="auto"/>
          <w:spacing w:val="-37"/>
        </w:rPr>
        <w:t xml:space="preserve"> </w:t>
      </w:r>
      <w:r>
        <w:rPr>
          <w:b/>
          <w:bCs/>
          <w:color w:val="auto"/>
          <w:spacing w:val="-14"/>
        </w:rPr>
        <w:t>名</w:t>
      </w:r>
      <w:r>
        <w:rPr>
          <w:color w:val="auto"/>
          <w:spacing w:val="-40"/>
        </w:rPr>
        <w:t xml:space="preserve"> </w:t>
      </w:r>
      <w:r>
        <w:rPr>
          <w:b/>
          <w:bCs/>
          <w:color w:val="auto"/>
          <w:spacing w:val="-14"/>
        </w:rPr>
        <w:t>称</w:t>
      </w:r>
      <w:r>
        <w:rPr>
          <w:color w:val="auto"/>
          <w:spacing w:val="-14"/>
        </w:rPr>
        <w:t xml:space="preserve"> </w:t>
      </w:r>
      <w:r>
        <w:rPr>
          <w:b/>
          <w:bCs/>
          <w:color w:val="auto"/>
          <w:spacing w:val="-14"/>
        </w:rPr>
        <w:t>：</w:t>
      </w:r>
      <w:r>
        <w:rPr>
          <w:rFonts w:hint="eastAsia"/>
          <w:b/>
          <w:bCs/>
          <w:color w:val="auto"/>
          <w:spacing w:val="-9"/>
          <w:u w:val="single" w:color="auto"/>
          <w:lang w:val="en-US" w:eastAsia="zh-CN"/>
        </w:rPr>
        <w:t xml:space="preserve">内 部 控 制 风 险 评 价 专 项 审 计 </w:t>
      </w:r>
    </w:p>
    <w:p w14:paraId="757F621A">
      <w:pPr>
        <w:pStyle w:val="4"/>
        <w:spacing w:before="113" w:line="223" w:lineRule="auto"/>
        <w:ind w:left="1" w:firstLine="2334" w:firstLineChars="700"/>
        <w:jc w:val="left"/>
        <w:rPr>
          <w:b/>
          <w:bCs/>
          <w:color w:val="auto"/>
          <w:spacing w:val="-9"/>
          <w:u w:val="single" w:color="auto"/>
        </w:rPr>
      </w:pPr>
    </w:p>
    <w:p w14:paraId="74F6EC67">
      <w:pPr>
        <w:pStyle w:val="4"/>
        <w:spacing w:before="113" w:line="223" w:lineRule="auto"/>
        <w:ind w:firstLine="2000" w:firstLineChars="600"/>
        <w:jc w:val="left"/>
        <w:rPr>
          <w:color w:val="auto"/>
        </w:rPr>
      </w:pPr>
      <w:r>
        <w:rPr>
          <w:b/>
          <w:bCs/>
          <w:color w:val="auto"/>
          <w:spacing w:val="-9"/>
          <w:u w:val="single" w:color="auto"/>
        </w:rPr>
        <w:t>服</w:t>
      </w:r>
      <w:r>
        <w:rPr>
          <w:color w:val="auto"/>
          <w:spacing w:val="-36"/>
          <w:u w:val="single" w:color="auto"/>
        </w:rPr>
        <w:t xml:space="preserve"> </w:t>
      </w:r>
      <w:r>
        <w:rPr>
          <w:b/>
          <w:bCs/>
          <w:color w:val="auto"/>
          <w:spacing w:val="-15"/>
          <w:u w:val="single" w:color="auto"/>
        </w:rPr>
        <w:t>务</w:t>
      </w:r>
      <w:r>
        <w:rPr>
          <w:color w:val="auto"/>
          <w:u w:val="single" w:color="auto"/>
        </w:rPr>
        <w:t xml:space="preserve"> </w:t>
      </w:r>
      <w:r>
        <w:rPr>
          <w:b/>
          <w:bCs/>
          <w:color w:val="auto"/>
          <w:spacing w:val="-9"/>
          <w:u w:val="single" w:color="auto"/>
        </w:rPr>
        <w:t>项</w:t>
      </w:r>
      <w:r>
        <w:rPr>
          <w:color w:val="auto"/>
          <w:spacing w:val="30"/>
          <w:u w:val="single" w:color="auto"/>
        </w:rPr>
        <w:t xml:space="preserve"> </w:t>
      </w:r>
      <w:r>
        <w:rPr>
          <w:b/>
          <w:bCs/>
          <w:color w:val="auto"/>
          <w:spacing w:val="-9"/>
          <w:u w:val="single" w:color="auto"/>
        </w:rPr>
        <w:t>目</w:t>
      </w:r>
    </w:p>
    <w:p w14:paraId="10513527">
      <w:pPr>
        <w:spacing w:line="261" w:lineRule="auto"/>
        <w:rPr>
          <w:rFonts w:ascii="Arial"/>
          <w:color w:val="auto"/>
          <w:sz w:val="21"/>
        </w:rPr>
      </w:pPr>
    </w:p>
    <w:p w14:paraId="489B0B66">
      <w:pPr>
        <w:spacing w:line="261" w:lineRule="auto"/>
        <w:rPr>
          <w:rFonts w:ascii="Arial"/>
          <w:color w:val="auto"/>
          <w:sz w:val="21"/>
        </w:rPr>
      </w:pPr>
    </w:p>
    <w:p w14:paraId="4992FE19">
      <w:pPr>
        <w:spacing w:line="261" w:lineRule="auto"/>
        <w:rPr>
          <w:rFonts w:ascii="Arial"/>
          <w:color w:val="auto"/>
          <w:sz w:val="21"/>
        </w:rPr>
      </w:pPr>
    </w:p>
    <w:p w14:paraId="3DAA4AB0">
      <w:pPr>
        <w:spacing w:line="261" w:lineRule="auto"/>
        <w:rPr>
          <w:rFonts w:ascii="Arial"/>
          <w:color w:val="auto"/>
          <w:sz w:val="21"/>
        </w:rPr>
      </w:pPr>
    </w:p>
    <w:p w14:paraId="64E5451C">
      <w:pPr>
        <w:spacing w:line="262" w:lineRule="auto"/>
        <w:rPr>
          <w:rFonts w:ascii="Arial"/>
          <w:color w:val="auto"/>
          <w:sz w:val="21"/>
        </w:rPr>
      </w:pPr>
    </w:p>
    <w:p w14:paraId="6798A255">
      <w:pPr>
        <w:pStyle w:val="4"/>
        <w:spacing w:before="113" w:line="224" w:lineRule="auto"/>
        <w:rPr>
          <w:color w:val="auto"/>
        </w:rPr>
      </w:pPr>
      <w:r>
        <w:rPr>
          <w:b/>
          <w:bCs/>
          <w:color w:val="auto"/>
          <w:spacing w:val="-17"/>
        </w:rPr>
        <w:t>采</w:t>
      </w:r>
      <w:r>
        <w:rPr>
          <w:color w:val="auto"/>
          <w:spacing w:val="-29"/>
        </w:rPr>
        <w:t xml:space="preserve"> </w:t>
      </w:r>
      <w:r>
        <w:rPr>
          <w:b/>
          <w:bCs/>
          <w:color w:val="auto"/>
          <w:spacing w:val="-17"/>
        </w:rPr>
        <w:t>购</w:t>
      </w:r>
      <w:r>
        <w:rPr>
          <w:color w:val="auto"/>
          <w:spacing w:val="-41"/>
        </w:rPr>
        <w:t xml:space="preserve"> </w:t>
      </w:r>
      <w:r>
        <w:rPr>
          <w:b/>
          <w:bCs/>
          <w:color w:val="auto"/>
          <w:spacing w:val="-17"/>
        </w:rPr>
        <w:t>人</w:t>
      </w:r>
      <w:r>
        <w:rPr>
          <w:color w:val="auto"/>
          <w:spacing w:val="-17"/>
        </w:rPr>
        <w:t xml:space="preserve"> </w:t>
      </w:r>
      <w:r>
        <w:rPr>
          <w:b/>
          <w:bCs/>
          <w:color w:val="auto"/>
          <w:spacing w:val="-17"/>
        </w:rPr>
        <w:t>：福</w:t>
      </w:r>
      <w:r>
        <w:rPr>
          <w:color w:val="auto"/>
          <w:spacing w:val="-17"/>
        </w:rPr>
        <w:t xml:space="preserve"> </w:t>
      </w:r>
      <w:r>
        <w:rPr>
          <w:b/>
          <w:bCs/>
          <w:color w:val="auto"/>
          <w:spacing w:val="-17"/>
        </w:rPr>
        <w:t>建</w:t>
      </w:r>
      <w:r>
        <w:rPr>
          <w:color w:val="auto"/>
          <w:spacing w:val="-17"/>
        </w:rPr>
        <w:t xml:space="preserve"> </w:t>
      </w:r>
      <w:r>
        <w:rPr>
          <w:b/>
          <w:bCs/>
          <w:color w:val="auto"/>
          <w:spacing w:val="-17"/>
        </w:rPr>
        <w:t>中</w:t>
      </w:r>
      <w:r>
        <w:rPr>
          <w:color w:val="auto"/>
          <w:spacing w:val="-17"/>
        </w:rPr>
        <w:t xml:space="preserve"> </w:t>
      </w:r>
      <w:r>
        <w:rPr>
          <w:b/>
          <w:bCs/>
          <w:color w:val="auto"/>
          <w:spacing w:val="-17"/>
        </w:rPr>
        <w:t>医</w:t>
      </w:r>
      <w:r>
        <w:rPr>
          <w:color w:val="auto"/>
          <w:spacing w:val="-36"/>
        </w:rPr>
        <w:t xml:space="preserve"> </w:t>
      </w:r>
      <w:r>
        <w:rPr>
          <w:b/>
          <w:bCs/>
          <w:color w:val="auto"/>
          <w:spacing w:val="-17"/>
        </w:rPr>
        <w:t>药</w:t>
      </w:r>
      <w:r>
        <w:rPr>
          <w:color w:val="auto"/>
          <w:spacing w:val="-35"/>
        </w:rPr>
        <w:t xml:space="preserve"> </w:t>
      </w:r>
      <w:r>
        <w:rPr>
          <w:b/>
          <w:bCs/>
          <w:color w:val="auto"/>
          <w:spacing w:val="-17"/>
        </w:rPr>
        <w:t>大</w:t>
      </w:r>
      <w:r>
        <w:rPr>
          <w:color w:val="auto"/>
          <w:spacing w:val="-31"/>
        </w:rPr>
        <w:t xml:space="preserve"> </w:t>
      </w:r>
      <w:r>
        <w:rPr>
          <w:b/>
          <w:bCs/>
          <w:color w:val="auto"/>
          <w:spacing w:val="-17"/>
        </w:rPr>
        <w:t>学</w:t>
      </w:r>
      <w:r>
        <w:rPr>
          <w:color w:val="auto"/>
          <w:spacing w:val="-17"/>
        </w:rPr>
        <w:t xml:space="preserve"> </w:t>
      </w:r>
      <w:r>
        <w:rPr>
          <w:b/>
          <w:bCs/>
          <w:color w:val="auto"/>
          <w:spacing w:val="-17"/>
        </w:rPr>
        <w:t>附</w:t>
      </w:r>
      <w:r>
        <w:rPr>
          <w:color w:val="auto"/>
          <w:spacing w:val="-36"/>
        </w:rPr>
        <w:t xml:space="preserve"> </w:t>
      </w:r>
      <w:r>
        <w:rPr>
          <w:b/>
          <w:bCs/>
          <w:color w:val="auto"/>
          <w:spacing w:val="-17"/>
        </w:rPr>
        <w:t>属</w:t>
      </w:r>
      <w:r>
        <w:rPr>
          <w:color w:val="auto"/>
          <w:spacing w:val="-41"/>
        </w:rPr>
        <w:t xml:space="preserve"> </w:t>
      </w:r>
      <w:r>
        <w:rPr>
          <w:b/>
          <w:bCs/>
          <w:color w:val="auto"/>
          <w:spacing w:val="-17"/>
        </w:rPr>
        <w:t>第</w:t>
      </w:r>
      <w:r>
        <w:rPr>
          <w:color w:val="auto"/>
          <w:spacing w:val="-38"/>
        </w:rPr>
        <w:t xml:space="preserve"> </w:t>
      </w:r>
      <w:r>
        <w:rPr>
          <w:b/>
          <w:bCs/>
          <w:color w:val="auto"/>
          <w:spacing w:val="-17"/>
        </w:rPr>
        <w:t>三</w:t>
      </w:r>
      <w:r>
        <w:rPr>
          <w:color w:val="auto"/>
          <w:spacing w:val="-38"/>
        </w:rPr>
        <w:t xml:space="preserve"> </w:t>
      </w:r>
      <w:r>
        <w:rPr>
          <w:b/>
          <w:bCs/>
          <w:color w:val="auto"/>
          <w:spacing w:val="-17"/>
        </w:rPr>
        <w:t>人</w:t>
      </w:r>
      <w:r>
        <w:rPr>
          <w:color w:val="auto"/>
          <w:spacing w:val="-17"/>
        </w:rPr>
        <w:t xml:space="preserve"> </w:t>
      </w:r>
      <w:r>
        <w:rPr>
          <w:b/>
          <w:bCs/>
          <w:color w:val="auto"/>
          <w:spacing w:val="-17"/>
        </w:rPr>
        <w:t>民</w:t>
      </w:r>
      <w:r>
        <w:rPr>
          <w:color w:val="auto"/>
          <w:spacing w:val="-22"/>
        </w:rPr>
        <w:t xml:space="preserve"> </w:t>
      </w:r>
      <w:r>
        <w:rPr>
          <w:b/>
          <w:bCs/>
          <w:color w:val="auto"/>
          <w:spacing w:val="-17"/>
        </w:rPr>
        <w:t>医</w:t>
      </w:r>
      <w:r>
        <w:rPr>
          <w:color w:val="auto"/>
          <w:spacing w:val="-17"/>
        </w:rPr>
        <w:t xml:space="preserve"> </w:t>
      </w:r>
      <w:r>
        <w:rPr>
          <w:b/>
          <w:bCs/>
          <w:color w:val="auto"/>
          <w:spacing w:val="-17"/>
        </w:rPr>
        <w:t>院</w:t>
      </w:r>
    </w:p>
    <w:p w14:paraId="69E38BEA">
      <w:pPr>
        <w:spacing w:line="224" w:lineRule="auto"/>
        <w:rPr>
          <w:color w:val="auto"/>
        </w:rPr>
        <w:sectPr>
          <w:footerReference r:id="rId5" w:type="default"/>
          <w:pgSz w:w="11907" w:h="16840"/>
          <w:pgMar w:top="1701" w:right="1474" w:bottom="1417" w:left="1474" w:header="0" w:footer="1360" w:gutter="0"/>
          <w:cols w:space="720" w:num="1"/>
        </w:sectPr>
      </w:pPr>
    </w:p>
    <w:p w14:paraId="34CAAC73">
      <w:pPr>
        <w:spacing w:before="74" w:line="228" w:lineRule="auto"/>
        <w:ind w:left="4134"/>
        <w:outlineLvl w:val="0"/>
        <w:rPr>
          <w:rFonts w:ascii="仿宋" w:hAnsi="仿宋" w:eastAsia="仿宋" w:cs="仿宋"/>
          <w:color w:val="auto"/>
          <w:sz w:val="35"/>
          <w:szCs w:val="35"/>
        </w:rPr>
      </w:pPr>
      <w:r>
        <w:rPr>
          <w:rFonts w:ascii="仿宋" w:hAnsi="仿宋" w:eastAsia="仿宋" w:cs="仿宋"/>
          <w:b/>
          <w:bCs/>
          <w:color w:val="auto"/>
          <w:spacing w:val="-43"/>
          <w:sz w:val="35"/>
          <w:szCs w:val="35"/>
        </w:rPr>
        <w:t>目</w:t>
      </w:r>
      <w:r>
        <w:rPr>
          <w:rFonts w:ascii="仿宋" w:hAnsi="仿宋" w:eastAsia="仿宋" w:cs="仿宋"/>
          <w:color w:val="auto"/>
          <w:spacing w:val="42"/>
          <w:sz w:val="35"/>
          <w:szCs w:val="35"/>
        </w:rPr>
        <w:t xml:space="preserve"> </w:t>
      </w:r>
      <w:r>
        <w:rPr>
          <w:rFonts w:ascii="仿宋" w:hAnsi="仿宋" w:eastAsia="仿宋" w:cs="仿宋"/>
          <w:b/>
          <w:bCs/>
          <w:color w:val="auto"/>
          <w:spacing w:val="-43"/>
          <w:sz w:val="35"/>
          <w:szCs w:val="35"/>
        </w:rPr>
        <w:t>录</w:t>
      </w:r>
    </w:p>
    <w:p w14:paraId="161CAAE6">
      <w:pPr>
        <w:spacing w:line="250" w:lineRule="auto"/>
        <w:rPr>
          <w:rFonts w:ascii="Arial"/>
          <w:color w:val="auto"/>
          <w:sz w:val="21"/>
        </w:rPr>
      </w:pPr>
    </w:p>
    <w:p w14:paraId="0DB0F90A">
      <w:pPr>
        <w:spacing w:line="251" w:lineRule="auto"/>
        <w:rPr>
          <w:rFonts w:ascii="Arial"/>
          <w:color w:val="auto"/>
          <w:sz w:val="21"/>
        </w:rPr>
      </w:pPr>
    </w:p>
    <w:sdt>
      <w:sdtPr>
        <w:rPr>
          <w:rFonts w:ascii="宋体" w:hAnsi="宋体" w:eastAsia="宋体" w:cs="宋体"/>
          <w:color w:val="auto"/>
          <w:sz w:val="20"/>
          <w:szCs w:val="20"/>
        </w:rPr>
        <w:id w:val="1"/>
        <w:docPartObj>
          <w:docPartGallery w:val="Table of Contents"/>
          <w:docPartUnique/>
        </w:docPartObj>
      </w:sdtPr>
      <w:sdtEndPr>
        <w:rPr>
          <w:rFonts w:ascii="Times New Roman" w:hAnsi="Times New Roman" w:eastAsia="Times New Roman" w:cs="Times New Roman"/>
          <w:color w:val="auto"/>
          <w:sz w:val="20"/>
          <w:szCs w:val="20"/>
        </w:rPr>
      </w:sdtEndPr>
      <w:sdtContent>
        <w:p w14:paraId="59943D3C">
          <w:pPr>
            <w:pStyle w:val="4"/>
            <w:tabs>
              <w:tab w:val="right" w:leader="dot" w:pos="9005"/>
            </w:tabs>
            <w:spacing w:before="65" w:line="223" w:lineRule="auto"/>
            <w:rPr>
              <w:rFonts w:ascii="Times New Roman" w:hAnsi="Times New Roman" w:eastAsia="Times New Roman" w:cs="Times New Roman"/>
              <w:color w:val="auto"/>
              <w:sz w:val="20"/>
              <w:szCs w:val="20"/>
            </w:rPr>
          </w:pPr>
          <w:bookmarkStart w:id="0" w:name="bookmark1"/>
          <w:bookmarkEnd w:id="0"/>
          <w:r>
            <w:rPr>
              <w:color w:val="auto"/>
            </w:rPr>
            <w:fldChar w:fldCharType="begin"/>
          </w:r>
          <w:r>
            <w:rPr>
              <w:color w:val="auto"/>
            </w:rPr>
            <w:instrText xml:space="preserve"> HYPERLINK \l "bookmark1" </w:instrText>
          </w:r>
          <w:r>
            <w:rPr>
              <w:color w:val="auto"/>
            </w:rPr>
            <w:fldChar w:fldCharType="separate"/>
          </w:r>
          <w:r>
            <w:rPr>
              <w:color w:val="auto"/>
              <w:spacing w:val="8"/>
              <w:sz w:val="20"/>
              <w:szCs w:val="20"/>
            </w:rPr>
            <w:t xml:space="preserve">第一部分 </w:t>
          </w:r>
          <w:r>
            <w:rPr>
              <w:rFonts w:hint="eastAsia"/>
              <w:color w:val="auto"/>
              <w:spacing w:val="8"/>
              <w:sz w:val="20"/>
              <w:szCs w:val="20"/>
              <w:lang w:val="en-US" w:eastAsia="zh-CN"/>
            </w:rPr>
            <w:t>投标邀请</w:t>
          </w:r>
          <w:r>
            <w:rPr>
              <w:color w:val="auto"/>
              <w:spacing w:val="-53"/>
              <w:sz w:val="20"/>
              <w:szCs w:val="20"/>
            </w:rPr>
            <w:t xml:space="preserve"> </w:t>
          </w:r>
          <w:r>
            <w:rPr>
              <w:color w:val="auto"/>
              <w:sz w:val="20"/>
              <w:szCs w:val="20"/>
            </w:rPr>
            <w:tab/>
          </w:r>
          <w:r>
            <w:rPr>
              <w:color w:val="auto"/>
              <w:spacing w:val="-68"/>
              <w:sz w:val="20"/>
              <w:szCs w:val="20"/>
            </w:rPr>
            <w:t xml:space="preserve"> </w:t>
          </w:r>
          <w:r>
            <w:rPr>
              <w:rFonts w:ascii="Times New Roman" w:hAnsi="Times New Roman" w:eastAsia="Times New Roman" w:cs="Times New Roman"/>
              <w:color w:val="auto"/>
              <w:spacing w:val="-5"/>
              <w:sz w:val="20"/>
              <w:szCs w:val="20"/>
            </w:rPr>
            <w:t>3</w:t>
          </w:r>
          <w:r>
            <w:rPr>
              <w:rFonts w:ascii="Times New Roman" w:hAnsi="Times New Roman" w:eastAsia="Times New Roman" w:cs="Times New Roman"/>
              <w:color w:val="auto"/>
              <w:spacing w:val="-5"/>
              <w:sz w:val="20"/>
              <w:szCs w:val="20"/>
            </w:rPr>
            <w:fldChar w:fldCharType="end"/>
          </w:r>
        </w:p>
        <w:p w14:paraId="3962D5B6">
          <w:pPr>
            <w:pStyle w:val="4"/>
            <w:tabs>
              <w:tab w:val="right" w:leader="dot" w:pos="9005"/>
            </w:tabs>
            <w:spacing w:before="151" w:line="227" w:lineRule="auto"/>
            <w:rPr>
              <w:rFonts w:ascii="Times New Roman" w:hAnsi="Times New Roman" w:eastAsia="Times New Roman" w:cs="Times New Roman"/>
              <w:color w:val="auto"/>
              <w:sz w:val="20"/>
              <w:szCs w:val="20"/>
            </w:rPr>
          </w:pPr>
          <w:bookmarkStart w:id="1" w:name="bookmark2"/>
          <w:bookmarkEnd w:id="1"/>
          <w:r>
            <w:rPr>
              <w:color w:val="auto"/>
            </w:rPr>
            <w:fldChar w:fldCharType="begin"/>
          </w:r>
          <w:r>
            <w:rPr>
              <w:color w:val="auto"/>
            </w:rPr>
            <w:instrText xml:space="preserve"> HYPERLINK \l "bookmark3" </w:instrText>
          </w:r>
          <w:r>
            <w:rPr>
              <w:color w:val="auto"/>
            </w:rPr>
            <w:fldChar w:fldCharType="separate"/>
          </w:r>
          <w:r>
            <w:rPr>
              <w:color w:val="auto"/>
            </w:rPr>
            <w:fldChar w:fldCharType="begin"/>
          </w:r>
          <w:r>
            <w:rPr>
              <w:color w:val="auto"/>
            </w:rPr>
            <w:instrText xml:space="preserve"> HYPERLINK \l "bookmark5" </w:instrText>
          </w:r>
          <w:r>
            <w:rPr>
              <w:color w:val="auto"/>
            </w:rPr>
            <w:fldChar w:fldCharType="separate"/>
          </w:r>
          <w:r>
            <w:rPr>
              <w:color w:val="auto"/>
              <w:spacing w:val="8"/>
              <w:sz w:val="20"/>
              <w:szCs w:val="20"/>
            </w:rPr>
            <w:t>第</w:t>
          </w:r>
          <w:r>
            <w:rPr>
              <w:rFonts w:hint="eastAsia"/>
              <w:color w:val="auto"/>
              <w:spacing w:val="8"/>
              <w:sz w:val="20"/>
              <w:szCs w:val="20"/>
              <w:lang w:val="en-US" w:eastAsia="zh-CN"/>
            </w:rPr>
            <w:t>二</w:t>
          </w:r>
          <w:r>
            <w:rPr>
              <w:color w:val="auto"/>
              <w:spacing w:val="8"/>
              <w:sz w:val="20"/>
              <w:szCs w:val="20"/>
            </w:rPr>
            <w:t xml:space="preserve">部分 </w:t>
          </w:r>
          <w:r>
            <w:rPr>
              <w:rFonts w:hint="eastAsia"/>
              <w:color w:val="auto"/>
              <w:spacing w:val="8"/>
              <w:sz w:val="20"/>
              <w:szCs w:val="20"/>
            </w:rPr>
            <w:t>资格审查和评审方法</w:t>
          </w:r>
          <w:r>
            <w:rPr>
              <w:color w:val="auto"/>
              <w:spacing w:val="-50"/>
              <w:sz w:val="20"/>
              <w:szCs w:val="20"/>
            </w:rPr>
            <w:t xml:space="preserve"> </w:t>
          </w:r>
          <w:r>
            <w:rPr>
              <w:color w:val="auto"/>
              <w:sz w:val="20"/>
              <w:szCs w:val="20"/>
            </w:rPr>
            <w:tab/>
          </w:r>
          <w:r>
            <w:rPr>
              <w:color w:val="auto"/>
              <w:spacing w:val="-71"/>
              <w:sz w:val="20"/>
              <w:szCs w:val="20"/>
            </w:rPr>
            <w:t xml:space="preserve"> </w:t>
          </w:r>
          <w:r>
            <w:rPr>
              <w:rFonts w:hint="eastAsia" w:ascii="Times New Roman" w:hAnsi="Times New Roman" w:cs="Times New Roman"/>
              <w:color w:val="auto"/>
              <w:spacing w:val="-4"/>
              <w:sz w:val="20"/>
              <w:szCs w:val="20"/>
              <w:lang w:val="en-US" w:eastAsia="zh-CN"/>
            </w:rPr>
            <w:t>7</w:t>
          </w:r>
          <w:r>
            <w:rPr>
              <w:rFonts w:ascii="Times New Roman" w:hAnsi="Times New Roman" w:eastAsia="Times New Roman" w:cs="Times New Roman"/>
              <w:color w:val="auto"/>
              <w:spacing w:val="-4"/>
              <w:sz w:val="20"/>
              <w:szCs w:val="20"/>
            </w:rPr>
            <w:fldChar w:fldCharType="end"/>
          </w:r>
        </w:p>
        <w:p w14:paraId="0B6EB747">
          <w:pPr>
            <w:pStyle w:val="4"/>
            <w:tabs>
              <w:tab w:val="right" w:leader="dot" w:pos="9005"/>
            </w:tabs>
            <w:spacing w:before="151" w:line="227" w:lineRule="auto"/>
            <w:rPr>
              <w:rFonts w:hint="eastAsia" w:ascii="Times New Roman" w:hAnsi="Times New Roman" w:eastAsia="宋体" w:cs="Times New Roman"/>
              <w:color w:val="auto"/>
              <w:sz w:val="20"/>
              <w:szCs w:val="20"/>
              <w:lang w:val="en-US" w:eastAsia="zh-CN"/>
            </w:rPr>
          </w:pPr>
          <w:r>
            <w:rPr>
              <w:rFonts w:hint="eastAsia" w:ascii="Times New Roman" w:hAnsi="Times New Roman" w:eastAsia="宋体" w:cs="Times New Roman"/>
              <w:color w:val="auto"/>
              <w:spacing w:val="-4"/>
              <w:sz w:val="20"/>
              <w:szCs w:val="20"/>
              <w:lang w:val="en-US" w:eastAsia="zh-CN"/>
            </w:rPr>
            <w:fldChar w:fldCharType="begin"/>
          </w:r>
          <w:r>
            <w:rPr>
              <w:rFonts w:hint="eastAsia" w:ascii="Times New Roman" w:hAnsi="Times New Roman" w:eastAsia="宋体" w:cs="Times New Roman"/>
              <w:color w:val="auto"/>
              <w:spacing w:val="-4"/>
              <w:sz w:val="20"/>
              <w:szCs w:val="20"/>
              <w:lang w:val="en-US" w:eastAsia="zh-CN"/>
            </w:rPr>
            <w:instrText xml:space="preserve"> HYPERLINK \l "bookmark5" </w:instrText>
          </w:r>
          <w:r>
            <w:rPr>
              <w:rFonts w:hint="eastAsia" w:ascii="Times New Roman" w:hAnsi="Times New Roman" w:eastAsia="宋体" w:cs="Times New Roman"/>
              <w:color w:val="auto"/>
              <w:spacing w:val="-4"/>
              <w:sz w:val="20"/>
              <w:szCs w:val="20"/>
              <w:lang w:val="en-US" w:eastAsia="zh-CN"/>
            </w:rPr>
            <w:fldChar w:fldCharType="separate"/>
          </w:r>
          <w:r>
            <w:rPr>
              <w:rFonts w:hint="eastAsia" w:ascii="Times New Roman" w:hAnsi="Times New Roman" w:eastAsia="宋体" w:cs="Times New Roman"/>
              <w:color w:val="auto"/>
              <w:spacing w:val="-4"/>
              <w:sz w:val="20"/>
              <w:szCs w:val="20"/>
              <w:lang w:val="en-US" w:eastAsia="zh-CN"/>
            </w:rPr>
            <w:t xml:space="preserve">第三部分 </w:t>
          </w:r>
          <w:r>
            <w:rPr>
              <w:rFonts w:hint="eastAsia" w:ascii="Times New Roman" w:hAnsi="Times New Roman" w:cs="Times New Roman"/>
              <w:color w:val="auto"/>
              <w:spacing w:val="-4"/>
              <w:sz w:val="20"/>
              <w:szCs w:val="20"/>
              <w:lang w:val="en-US" w:eastAsia="zh-CN"/>
            </w:rPr>
            <w:t xml:space="preserve"> </w:t>
          </w:r>
          <w:r>
            <w:rPr>
              <w:rFonts w:hint="eastAsia" w:ascii="Times New Roman" w:hAnsi="Times New Roman" w:eastAsia="宋体" w:cs="Times New Roman"/>
              <w:color w:val="auto"/>
              <w:spacing w:val="-4"/>
              <w:sz w:val="20"/>
              <w:szCs w:val="20"/>
              <w:lang w:val="en-US" w:eastAsia="zh-CN"/>
            </w:rPr>
            <w:t xml:space="preserve">招标内容和技术参数 </w:t>
          </w:r>
          <w:r>
            <w:rPr>
              <w:rFonts w:hint="eastAsia" w:ascii="Times New Roman" w:hAnsi="Times New Roman" w:eastAsia="宋体" w:cs="Times New Roman"/>
              <w:color w:val="auto"/>
              <w:spacing w:val="-4"/>
              <w:sz w:val="20"/>
              <w:szCs w:val="20"/>
              <w:lang w:val="en-US" w:eastAsia="zh-CN"/>
            </w:rPr>
            <w:tab/>
          </w:r>
          <w:r>
            <w:rPr>
              <w:rFonts w:hint="eastAsia" w:ascii="Times New Roman" w:hAnsi="Times New Roman" w:eastAsia="宋体" w:cs="Times New Roman"/>
              <w:color w:val="auto"/>
              <w:spacing w:val="-4"/>
              <w:sz w:val="20"/>
              <w:szCs w:val="20"/>
              <w:lang w:val="en-US" w:eastAsia="zh-CN"/>
            </w:rPr>
            <w:t>1</w:t>
          </w:r>
          <w:r>
            <w:rPr>
              <w:rFonts w:hint="eastAsia" w:ascii="Times New Roman" w:hAnsi="Times New Roman" w:eastAsia="宋体" w:cs="Times New Roman"/>
              <w:color w:val="auto"/>
              <w:spacing w:val="-4"/>
              <w:sz w:val="20"/>
              <w:szCs w:val="20"/>
              <w:lang w:val="en-US" w:eastAsia="zh-CN"/>
            </w:rPr>
            <w:fldChar w:fldCharType="end"/>
          </w:r>
          <w:r>
            <w:rPr>
              <w:rFonts w:hint="eastAsia" w:ascii="Times New Roman" w:hAnsi="Times New Roman" w:eastAsia="宋体" w:cs="Times New Roman"/>
              <w:color w:val="auto"/>
              <w:spacing w:val="-4"/>
              <w:sz w:val="20"/>
              <w:szCs w:val="20"/>
              <w:lang w:val="en-US" w:eastAsia="zh-CN"/>
            </w:rPr>
            <w:t>2</w:t>
          </w:r>
        </w:p>
        <w:p w14:paraId="4C5B2C56">
          <w:pPr>
            <w:pStyle w:val="4"/>
            <w:tabs>
              <w:tab w:val="right" w:leader="dot" w:pos="9005"/>
            </w:tabs>
            <w:spacing w:before="118" w:line="193" w:lineRule="auto"/>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21"/>
              <w:sz w:val="20"/>
              <w:szCs w:val="20"/>
            </w:rPr>
            <w:fldChar w:fldCharType="end"/>
          </w:r>
          <w:bookmarkStart w:id="2" w:name="bookmark4"/>
          <w:bookmarkEnd w:id="2"/>
          <w:r>
            <w:rPr>
              <w:color w:val="auto"/>
            </w:rPr>
            <w:fldChar w:fldCharType="begin"/>
          </w:r>
          <w:r>
            <w:rPr>
              <w:color w:val="auto"/>
            </w:rPr>
            <w:instrText xml:space="preserve"> HYPERLINK \l "bookmark5" </w:instrText>
          </w:r>
          <w:r>
            <w:rPr>
              <w:color w:val="auto"/>
            </w:rPr>
            <w:fldChar w:fldCharType="separate"/>
          </w:r>
          <w:r>
            <w:rPr>
              <w:color w:val="auto"/>
              <w:spacing w:val="8"/>
              <w:sz w:val="20"/>
              <w:szCs w:val="20"/>
            </w:rPr>
            <w:t>第三部分 采购文件的组成</w:t>
          </w:r>
          <w:r>
            <w:rPr>
              <w:color w:val="auto"/>
              <w:spacing w:val="-50"/>
              <w:sz w:val="20"/>
              <w:szCs w:val="20"/>
            </w:rPr>
            <w:t xml:space="preserve"> </w:t>
          </w:r>
          <w:r>
            <w:rPr>
              <w:color w:val="auto"/>
              <w:sz w:val="20"/>
              <w:szCs w:val="20"/>
            </w:rPr>
            <w:tab/>
          </w:r>
          <w:r>
            <w:rPr>
              <w:color w:val="auto"/>
              <w:spacing w:val="-71"/>
              <w:sz w:val="20"/>
              <w:szCs w:val="20"/>
            </w:rPr>
            <w:t xml:space="preserve"> </w:t>
          </w:r>
          <w:r>
            <w:rPr>
              <w:rFonts w:hint="eastAsia" w:ascii="Times New Roman" w:hAnsi="Times New Roman" w:eastAsia="宋体" w:cs="Times New Roman"/>
              <w:color w:val="auto"/>
              <w:spacing w:val="-4"/>
              <w:sz w:val="20"/>
              <w:szCs w:val="20"/>
              <w:lang w:val="en-US" w:eastAsia="zh-CN"/>
            </w:rPr>
            <w:t>1</w:t>
          </w:r>
          <w:r>
            <w:rPr>
              <w:rFonts w:ascii="Times New Roman" w:hAnsi="Times New Roman" w:eastAsia="Times New Roman" w:cs="Times New Roman"/>
              <w:color w:val="auto"/>
              <w:spacing w:val="-4"/>
              <w:sz w:val="20"/>
              <w:szCs w:val="20"/>
            </w:rPr>
            <w:fldChar w:fldCharType="end"/>
          </w:r>
          <w:r>
            <w:rPr>
              <w:rFonts w:hint="eastAsia" w:ascii="Times New Roman" w:hAnsi="Times New Roman" w:eastAsia="宋体" w:cs="Times New Roman"/>
              <w:color w:val="auto"/>
              <w:spacing w:val="-4"/>
              <w:sz w:val="20"/>
              <w:szCs w:val="20"/>
              <w:lang w:val="en-US" w:eastAsia="zh-CN"/>
            </w:rPr>
            <w:t>5</w:t>
          </w:r>
        </w:p>
      </w:sdtContent>
    </w:sdt>
    <w:p w14:paraId="7C7E46D9">
      <w:pPr>
        <w:spacing w:line="227" w:lineRule="auto"/>
        <w:rPr>
          <w:rFonts w:ascii="Times New Roman" w:hAnsi="Times New Roman" w:eastAsia="Times New Roman" w:cs="Times New Roman"/>
          <w:color w:val="auto"/>
          <w:sz w:val="20"/>
          <w:szCs w:val="20"/>
        </w:rPr>
        <w:sectPr>
          <w:footerReference r:id="rId6" w:type="default"/>
          <w:pgSz w:w="11907" w:h="16840"/>
          <w:pgMar w:top="1701" w:right="1474" w:bottom="1417" w:left="1474" w:header="0" w:footer="0" w:gutter="0"/>
          <w:cols w:space="720" w:num="1"/>
        </w:sectPr>
      </w:pPr>
    </w:p>
    <w:p w14:paraId="4D0D4819">
      <w:pPr>
        <w:spacing w:before="113" w:line="228" w:lineRule="auto"/>
        <w:ind w:left="2901"/>
        <w:outlineLvl w:val="0"/>
        <w:rPr>
          <w:rFonts w:ascii="仿宋" w:hAnsi="仿宋" w:eastAsia="仿宋" w:cs="仿宋"/>
          <w:color w:val="auto"/>
          <w:sz w:val="35"/>
          <w:szCs w:val="35"/>
        </w:rPr>
      </w:pPr>
      <w:r>
        <w:rPr>
          <w:rFonts w:ascii="仿宋" w:hAnsi="仿宋" w:eastAsia="仿宋" w:cs="仿宋"/>
          <w:b/>
          <w:bCs/>
          <w:color w:val="auto"/>
          <w:spacing w:val="3"/>
          <w:sz w:val="35"/>
          <w:szCs w:val="35"/>
        </w:rPr>
        <w:t>第一部分</w:t>
      </w:r>
      <w:r>
        <w:rPr>
          <w:rFonts w:ascii="仿宋" w:hAnsi="仿宋" w:eastAsia="仿宋" w:cs="仿宋"/>
          <w:color w:val="auto"/>
          <w:spacing w:val="3"/>
          <w:sz w:val="35"/>
          <w:szCs w:val="35"/>
        </w:rPr>
        <w:t xml:space="preserve"> </w:t>
      </w:r>
      <w:r>
        <w:rPr>
          <w:rFonts w:hint="eastAsia" w:ascii="仿宋" w:hAnsi="仿宋" w:eastAsia="仿宋" w:cs="仿宋"/>
          <w:b/>
          <w:bCs/>
          <w:color w:val="auto"/>
          <w:spacing w:val="3"/>
          <w:sz w:val="35"/>
          <w:szCs w:val="35"/>
          <w:lang w:eastAsia="zh-CN"/>
        </w:rPr>
        <w:t>投标邀请</w:t>
      </w:r>
    </w:p>
    <w:p w14:paraId="659482FF">
      <w:pPr>
        <w:spacing w:before="8"/>
        <w:rPr>
          <w:color w:val="auto"/>
        </w:rPr>
      </w:pPr>
    </w:p>
    <w:p w14:paraId="289C1AAE">
      <w:pPr>
        <w:spacing w:before="8"/>
        <w:rPr>
          <w:color w:val="auto"/>
        </w:rPr>
      </w:pPr>
    </w:p>
    <w:p w14:paraId="68D1E0C6">
      <w:pPr>
        <w:spacing w:before="7"/>
        <w:rPr>
          <w:color w:val="auto"/>
        </w:rPr>
      </w:pPr>
    </w:p>
    <w:tbl>
      <w:tblPr>
        <w:tblStyle w:val="13"/>
        <w:tblW w:w="94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2289"/>
        <w:gridCol w:w="6300"/>
      </w:tblGrid>
      <w:tr w14:paraId="7CD46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824" w:type="dxa"/>
            <w:vAlign w:val="top"/>
          </w:tcPr>
          <w:p w14:paraId="19F56F45">
            <w:pPr>
              <w:pStyle w:val="12"/>
              <w:spacing w:before="175" w:line="224" w:lineRule="auto"/>
              <w:ind w:left="145"/>
              <w:rPr>
                <w:color w:val="auto"/>
              </w:rPr>
            </w:pPr>
            <w:r>
              <w:rPr>
                <w:color w:val="auto"/>
                <w:spacing w:val="-9"/>
              </w:rPr>
              <w:t>项号</w:t>
            </w:r>
          </w:p>
        </w:tc>
        <w:tc>
          <w:tcPr>
            <w:tcW w:w="2289" w:type="dxa"/>
            <w:vAlign w:val="top"/>
          </w:tcPr>
          <w:p w14:paraId="00CC1B86">
            <w:pPr>
              <w:pStyle w:val="12"/>
              <w:spacing w:before="173" w:line="222" w:lineRule="auto"/>
              <w:ind w:left="118"/>
              <w:rPr>
                <w:color w:val="auto"/>
              </w:rPr>
            </w:pPr>
            <w:r>
              <w:rPr>
                <w:color w:val="auto"/>
                <w:spacing w:val="-6"/>
              </w:rPr>
              <w:t>条款名称</w:t>
            </w:r>
          </w:p>
        </w:tc>
        <w:tc>
          <w:tcPr>
            <w:tcW w:w="6300" w:type="dxa"/>
            <w:vAlign w:val="top"/>
          </w:tcPr>
          <w:p w14:paraId="408D515E">
            <w:pPr>
              <w:pStyle w:val="12"/>
              <w:spacing w:before="174" w:line="223" w:lineRule="auto"/>
              <w:ind w:left="2183"/>
              <w:rPr>
                <w:color w:val="auto"/>
              </w:rPr>
            </w:pPr>
            <w:r>
              <w:rPr>
                <w:color w:val="auto"/>
                <w:spacing w:val="-25"/>
              </w:rPr>
              <w:t>编</w:t>
            </w:r>
            <w:r>
              <w:rPr>
                <w:color w:val="auto"/>
                <w:spacing w:val="13"/>
              </w:rPr>
              <w:t xml:space="preserve">  </w:t>
            </w:r>
            <w:r>
              <w:rPr>
                <w:color w:val="auto"/>
                <w:spacing w:val="-25"/>
              </w:rPr>
              <w:t>列</w:t>
            </w:r>
            <w:r>
              <w:rPr>
                <w:color w:val="auto"/>
                <w:spacing w:val="27"/>
              </w:rPr>
              <w:t xml:space="preserve">  </w:t>
            </w:r>
            <w:r>
              <w:rPr>
                <w:color w:val="auto"/>
                <w:spacing w:val="-25"/>
              </w:rPr>
              <w:t>内</w:t>
            </w:r>
            <w:r>
              <w:rPr>
                <w:color w:val="auto"/>
                <w:spacing w:val="10"/>
              </w:rPr>
              <w:t xml:space="preserve">  </w:t>
            </w:r>
            <w:r>
              <w:rPr>
                <w:color w:val="auto"/>
                <w:spacing w:val="-25"/>
              </w:rPr>
              <w:t>容</w:t>
            </w:r>
          </w:p>
        </w:tc>
      </w:tr>
      <w:tr w14:paraId="712CE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3" w:hRule="atLeast"/>
        </w:trPr>
        <w:tc>
          <w:tcPr>
            <w:tcW w:w="824" w:type="dxa"/>
            <w:vAlign w:val="top"/>
          </w:tcPr>
          <w:p w14:paraId="58E96081">
            <w:pPr>
              <w:spacing w:line="275" w:lineRule="auto"/>
              <w:rPr>
                <w:rFonts w:ascii="Arial"/>
                <w:color w:val="auto"/>
                <w:sz w:val="21"/>
              </w:rPr>
            </w:pPr>
          </w:p>
          <w:p w14:paraId="73C8BA68">
            <w:pPr>
              <w:spacing w:line="275" w:lineRule="auto"/>
              <w:rPr>
                <w:rFonts w:ascii="Arial"/>
                <w:color w:val="auto"/>
                <w:sz w:val="21"/>
              </w:rPr>
            </w:pPr>
          </w:p>
          <w:p w14:paraId="5FAD6FE7">
            <w:pPr>
              <w:spacing w:line="276" w:lineRule="auto"/>
              <w:rPr>
                <w:rFonts w:ascii="Arial"/>
                <w:color w:val="auto"/>
                <w:sz w:val="21"/>
              </w:rPr>
            </w:pPr>
          </w:p>
          <w:p w14:paraId="34DEF96E">
            <w:pPr>
              <w:spacing w:line="276" w:lineRule="auto"/>
              <w:rPr>
                <w:rFonts w:ascii="Arial"/>
                <w:color w:val="auto"/>
                <w:sz w:val="21"/>
              </w:rPr>
            </w:pPr>
          </w:p>
          <w:p w14:paraId="6F7733A6">
            <w:pPr>
              <w:spacing w:line="276" w:lineRule="auto"/>
              <w:rPr>
                <w:rFonts w:ascii="Arial"/>
                <w:color w:val="auto"/>
                <w:sz w:val="21"/>
              </w:rPr>
            </w:pPr>
          </w:p>
          <w:p w14:paraId="2C14EC1A">
            <w:pPr>
              <w:spacing w:before="86" w:line="180" w:lineRule="auto"/>
              <w:ind w:left="358"/>
              <w:rPr>
                <w:rFonts w:ascii="Calibri" w:hAnsi="Calibri" w:eastAsia="Calibri" w:cs="Calibri"/>
                <w:color w:val="auto"/>
                <w:sz w:val="28"/>
                <w:szCs w:val="28"/>
              </w:rPr>
            </w:pPr>
            <w:r>
              <w:rPr>
                <w:rFonts w:ascii="Calibri" w:hAnsi="Calibri" w:eastAsia="Calibri" w:cs="Calibri"/>
                <w:color w:val="auto"/>
                <w:sz w:val="28"/>
                <w:szCs w:val="28"/>
              </w:rPr>
              <w:t>1</w:t>
            </w:r>
          </w:p>
        </w:tc>
        <w:tc>
          <w:tcPr>
            <w:tcW w:w="2289" w:type="dxa"/>
            <w:vAlign w:val="top"/>
          </w:tcPr>
          <w:p w14:paraId="181CF556">
            <w:pPr>
              <w:spacing w:line="263" w:lineRule="auto"/>
              <w:rPr>
                <w:rFonts w:ascii="Arial"/>
                <w:color w:val="auto"/>
                <w:sz w:val="21"/>
              </w:rPr>
            </w:pPr>
          </w:p>
          <w:p w14:paraId="2552FD8B">
            <w:pPr>
              <w:spacing w:line="263" w:lineRule="auto"/>
              <w:rPr>
                <w:rFonts w:ascii="Arial"/>
                <w:color w:val="auto"/>
                <w:sz w:val="21"/>
              </w:rPr>
            </w:pPr>
          </w:p>
          <w:p w14:paraId="35413999">
            <w:pPr>
              <w:spacing w:line="264" w:lineRule="auto"/>
              <w:rPr>
                <w:rFonts w:ascii="Arial"/>
                <w:color w:val="auto"/>
                <w:sz w:val="21"/>
              </w:rPr>
            </w:pPr>
          </w:p>
          <w:p w14:paraId="68AE1237">
            <w:pPr>
              <w:spacing w:line="264" w:lineRule="auto"/>
              <w:rPr>
                <w:rFonts w:ascii="Arial"/>
                <w:color w:val="auto"/>
                <w:sz w:val="21"/>
              </w:rPr>
            </w:pPr>
          </w:p>
          <w:p w14:paraId="2E75A451">
            <w:pPr>
              <w:spacing w:line="264" w:lineRule="auto"/>
              <w:rPr>
                <w:rFonts w:ascii="Arial"/>
                <w:color w:val="auto"/>
                <w:sz w:val="21"/>
              </w:rPr>
            </w:pPr>
          </w:p>
          <w:p w14:paraId="65F5E11B">
            <w:pPr>
              <w:pStyle w:val="12"/>
              <w:spacing w:before="91" w:line="223" w:lineRule="auto"/>
              <w:rPr>
                <w:color w:val="auto"/>
              </w:rPr>
            </w:pPr>
            <w:r>
              <w:rPr>
                <w:color w:val="auto"/>
                <w:spacing w:val="-7"/>
              </w:rPr>
              <w:t>采购人</w:t>
            </w:r>
          </w:p>
        </w:tc>
        <w:tc>
          <w:tcPr>
            <w:tcW w:w="6300" w:type="dxa"/>
            <w:vAlign w:val="top"/>
          </w:tcPr>
          <w:p w14:paraId="75C6CD26">
            <w:pPr>
              <w:pStyle w:val="12"/>
              <w:spacing w:before="169" w:line="223" w:lineRule="auto"/>
              <w:ind w:left="119"/>
              <w:rPr>
                <w:color w:val="auto"/>
              </w:rPr>
            </w:pPr>
            <w:r>
              <w:rPr>
                <w:color w:val="auto"/>
                <w:spacing w:val="-2"/>
              </w:rPr>
              <w:t>采购人：福建中医药大学附属第三人民医院</w:t>
            </w:r>
          </w:p>
          <w:p w14:paraId="2FEF982A">
            <w:pPr>
              <w:pStyle w:val="12"/>
              <w:spacing w:before="285" w:line="223" w:lineRule="auto"/>
              <w:ind w:left="118"/>
              <w:rPr>
                <w:color w:val="auto"/>
              </w:rPr>
            </w:pPr>
            <w:r>
              <w:rPr>
                <w:color w:val="auto"/>
                <w:spacing w:val="-2"/>
              </w:rPr>
              <w:t>地  址：福建福州市闽侯上街国宾大道</w:t>
            </w:r>
            <w:r>
              <w:rPr>
                <w:color w:val="auto"/>
                <w:spacing w:val="-49"/>
              </w:rPr>
              <w:t xml:space="preserve"> </w:t>
            </w:r>
            <w:r>
              <w:rPr>
                <w:rFonts w:ascii="Calibri" w:hAnsi="Calibri" w:eastAsia="Calibri" w:cs="Calibri"/>
                <w:color w:val="auto"/>
                <w:spacing w:val="-2"/>
              </w:rPr>
              <w:t>363</w:t>
            </w:r>
            <w:r>
              <w:rPr>
                <w:color w:val="auto"/>
                <w:spacing w:val="-2"/>
              </w:rPr>
              <w:t>号</w:t>
            </w:r>
          </w:p>
          <w:p w14:paraId="1B201472">
            <w:pPr>
              <w:pStyle w:val="12"/>
              <w:spacing w:before="285" w:line="223" w:lineRule="auto"/>
              <w:ind w:left="114"/>
              <w:rPr>
                <w:color w:val="auto"/>
              </w:rPr>
            </w:pPr>
            <w:r>
              <w:rPr>
                <w:color w:val="auto"/>
                <w:spacing w:val="-2"/>
              </w:rPr>
              <w:t>联系科室：后勤管理科</w:t>
            </w:r>
          </w:p>
          <w:p w14:paraId="0F6FC8F4">
            <w:pPr>
              <w:pStyle w:val="12"/>
              <w:spacing w:before="285" w:line="224" w:lineRule="auto"/>
              <w:ind w:left="114"/>
              <w:rPr>
                <w:color w:val="auto"/>
              </w:rPr>
            </w:pPr>
            <w:r>
              <w:rPr>
                <w:color w:val="auto"/>
                <w:spacing w:val="-1"/>
              </w:rPr>
              <w:t>联系电话：0591-62091297</w:t>
            </w:r>
          </w:p>
          <w:p w14:paraId="3C6DC7E4">
            <w:pPr>
              <w:pStyle w:val="12"/>
              <w:spacing w:before="284" w:line="223" w:lineRule="auto"/>
              <w:ind w:left="114"/>
              <w:rPr>
                <w:color w:val="auto"/>
              </w:rPr>
            </w:pPr>
            <w:r>
              <w:rPr>
                <w:color w:val="auto"/>
                <w:spacing w:val="-3"/>
              </w:rPr>
              <w:t>联系人：罗老师</w:t>
            </w:r>
          </w:p>
        </w:tc>
      </w:tr>
      <w:tr w14:paraId="304D4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824" w:type="dxa"/>
            <w:vAlign w:val="top"/>
          </w:tcPr>
          <w:p w14:paraId="1BC1D1BD">
            <w:pPr>
              <w:spacing w:line="448" w:lineRule="auto"/>
              <w:rPr>
                <w:rFonts w:ascii="Arial"/>
                <w:color w:val="auto"/>
                <w:sz w:val="21"/>
              </w:rPr>
            </w:pPr>
          </w:p>
          <w:p w14:paraId="0DE94C1C">
            <w:pPr>
              <w:spacing w:before="85" w:line="181" w:lineRule="auto"/>
              <w:ind w:left="350"/>
              <w:rPr>
                <w:rFonts w:ascii="Calibri" w:hAnsi="Calibri" w:eastAsia="Calibri" w:cs="Calibri"/>
                <w:color w:val="auto"/>
                <w:sz w:val="28"/>
                <w:szCs w:val="28"/>
              </w:rPr>
            </w:pPr>
            <w:r>
              <w:rPr>
                <w:rFonts w:ascii="Calibri" w:hAnsi="Calibri" w:eastAsia="Calibri" w:cs="Calibri"/>
                <w:color w:val="auto"/>
                <w:sz w:val="28"/>
                <w:szCs w:val="28"/>
              </w:rPr>
              <w:t>2</w:t>
            </w:r>
          </w:p>
        </w:tc>
        <w:tc>
          <w:tcPr>
            <w:tcW w:w="2289" w:type="dxa"/>
            <w:vAlign w:val="top"/>
          </w:tcPr>
          <w:p w14:paraId="07AE0E80">
            <w:pPr>
              <w:spacing w:line="388" w:lineRule="auto"/>
              <w:rPr>
                <w:rFonts w:ascii="Arial"/>
                <w:color w:val="auto"/>
                <w:sz w:val="21"/>
              </w:rPr>
            </w:pPr>
          </w:p>
          <w:p w14:paraId="3467AB38">
            <w:pPr>
              <w:pStyle w:val="12"/>
              <w:spacing w:before="91" w:line="222" w:lineRule="auto"/>
              <w:rPr>
                <w:color w:val="auto"/>
              </w:rPr>
            </w:pPr>
            <w:r>
              <w:rPr>
                <w:color w:val="auto"/>
                <w:spacing w:val="-3"/>
              </w:rPr>
              <w:t>项目名称及编号</w:t>
            </w:r>
          </w:p>
        </w:tc>
        <w:tc>
          <w:tcPr>
            <w:tcW w:w="6300" w:type="dxa"/>
            <w:vAlign w:val="top"/>
          </w:tcPr>
          <w:p w14:paraId="3E866DCA">
            <w:pPr>
              <w:pStyle w:val="12"/>
              <w:spacing w:before="170" w:line="221" w:lineRule="auto"/>
              <w:ind w:left="118"/>
              <w:rPr>
                <w:color w:val="auto"/>
              </w:rPr>
            </w:pPr>
            <w:r>
              <w:rPr>
                <w:color w:val="auto"/>
                <w:spacing w:val="-2"/>
              </w:rPr>
              <w:t>名称：</w:t>
            </w:r>
            <w:r>
              <w:rPr>
                <w:rFonts w:hint="eastAsia"/>
                <w:color w:val="auto"/>
                <w:spacing w:val="-2"/>
              </w:rPr>
              <w:t>内部控制风险评价专项审计服务项目</w:t>
            </w:r>
          </w:p>
          <w:p w14:paraId="5B3A95D3">
            <w:pPr>
              <w:pStyle w:val="12"/>
              <w:spacing w:before="289" w:line="223" w:lineRule="auto"/>
              <w:ind w:left="119"/>
              <w:rPr>
                <w:color w:val="auto"/>
              </w:rPr>
            </w:pPr>
            <w:r>
              <w:rPr>
                <w:color w:val="auto"/>
                <w:spacing w:val="-2"/>
              </w:rPr>
              <w:t>编号：闽三院购【2024】</w:t>
            </w:r>
            <w:r>
              <w:rPr>
                <w:color w:val="auto"/>
                <w:spacing w:val="-1"/>
              </w:rPr>
              <w:t>后</w:t>
            </w:r>
            <w:r>
              <w:rPr>
                <w:rFonts w:hint="eastAsia"/>
                <w:color w:val="auto"/>
                <w:spacing w:val="-1"/>
                <w:lang w:val="en-US" w:eastAsia="zh-CN"/>
              </w:rPr>
              <w:t>23-1</w:t>
            </w:r>
            <w:r>
              <w:rPr>
                <w:color w:val="auto"/>
                <w:spacing w:val="-2"/>
              </w:rPr>
              <w:t>号</w:t>
            </w:r>
          </w:p>
        </w:tc>
      </w:tr>
      <w:tr w14:paraId="5AFC8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24" w:type="dxa"/>
            <w:vAlign w:val="top"/>
          </w:tcPr>
          <w:p w14:paraId="144DBF8F">
            <w:pPr>
              <w:spacing w:before="224" w:line="181" w:lineRule="auto"/>
              <w:ind w:left="348"/>
              <w:rPr>
                <w:rFonts w:ascii="Calibri" w:hAnsi="Calibri" w:eastAsia="Calibri" w:cs="Calibri"/>
                <w:color w:val="auto"/>
                <w:sz w:val="28"/>
                <w:szCs w:val="28"/>
              </w:rPr>
            </w:pPr>
            <w:r>
              <w:rPr>
                <w:rFonts w:ascii="Calibri" w:hAnsi="Calibri" w:eastAsia="Calibri" w:cs="Calibri"/>
                <w:color w:val="auto"/>
                <w:sz w:val="28"/>
                <w:szCs w:val="28"/>
              </w:rPr>
              <w:t>3</w:t>
            </w:r>
          </w:p>
        </w:tc>
        <w:tc>
          <w:tcPr>
            <w:tcW w:w="2289" w:type="dxa"/>
            <w:vAlign w:val="top"/>
          </w:tcPr>
          <w:p w14:paraId="7E51680E">
            <w:pPr>
              <w:pStyle w:val="12"/>
              <w:spacing w:before="171" w:line="224" w:lineRule="auto"/>
              <w:rPr>
                <w:color w:val="auto"/>
              </w:rPr>
            </w:pPr>
            <w:r>
              <w:rPr>
                <w:color w:val="auto"/>
                <w:spacing w:val="-5"/>
              </w:rPr>
              <w:t>项目地点</w:t>
            </w:r>
          </w:p>
        </w:tc>
        <w:tc>
          <w:tcPr>
            <w:tcW w:w="6300" w:type="dxa"/>
            <w:vAlign w:val="top"/>
          </w:tcPr>
          <w:p w14:paraId="72DC280C">
            <w:pPr>
              <w:pStyle w:val="12"/>
              <w:spacing w:before="170" w:line="223" w:lineRule="auto"/>
              <w:ind w:left="118"/>
              <w:rPr>
                <w:color w:val="auto"/>
              </w:rPr>
            </w:pPr>
            <w:r>
              <w:rPr>
                <w:color w:val="auto"/>
                <w:spacing w:val="-2"/>
              </w:rPr>
              <w:t>福建中医药大学附属第三人民医院</w:t>
            </w:r>
          </w:p>
        </w:tc>
      </w:tr>
      <w:tr w14:paraId="1C199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24" w:type="dxa"/>
            <w:vAlign w:val="top"/>
          </w:tcPr>
          <w:p w14:paraId="5EC4B58E">
            <w:pPr>
              <w:spacing w:before="297" w:line="180" w:lineRule="auto"/>
              <w:ind w:left="341"/>
              <w:rPr>
                <w:rFonts w:ascii="Calibri" w:hAnsi="Calibri" w:eastAsia="Calibri" w:cs="Calibri"/>
                <w:color w:val="auto"/>
                <w:sz w:val="28"/>
                <w:szCs w:val="28"/>
              </w:rPr>
            </w:pPr>
            <w:r>
              <w:rPr>
                <w:rFonts w:ascii="Calibri" w:hAnsi="Calibri" w:eastAsia="Calibri" w:cs="Calibri"/>
                <w:color w:val="auto"/>
                <w:sz w:val="28"/>
                <w:szCs w:val="28"/>
              </w:rPr>
              <w:t>4</w:t>
            </w:r>
          </w:p>
        </w:tc>
        <w:tc>
          <w:tcPr>
            <w:tcW w:w="2289" w:type="dxa"/>
            <w:vAlign w:val="top"/>
          </w:tcPr>
          <w:p w14:paraId="62E2E845">
            <w:pPr>
              <w:pStyle w:val="12"/>
              <w:spacing w:before="242" w:line="223" w:lineRule="auto"/>
              <w:rPr>
                <w:color w:val="auto"/>
              </w:rPr>
            </w:pPr>
            <w:r>
              <w:rPr>
                <w:color w:val="auto"/>
                <w:spacing w:val="-5"/>
              </w:rPr>
              <w:t>项目概况</w:t>
            </w:r>
          </w:p>
        </w:tc>
        <w:tc>
          <w:tcPr>
            <w:tcW w:w="6300" w:type="dxa"/>
            <w:vAlign w:val="top"/>
          </w:tcPr>
          <w:p w14:paraId="7B374102">
            <w:pPr>
              <w:pStyle w:val="12"/>
              <w:spacing w:before="241" w:line="222" w:lineRule="auto"/>
              <w:ind w:left="118"/>
              <w:rPr>
                <w:color w:val="auto"/>
              </w:rPr>
            </w:pPr>
            <w:r>
              <w:rPr>
                <w:color w:val="auto"/>
                <w:spacing w:val="-2"/>
              </w:rPr>
              <w:t>详见第</w:t>
            </w:r>
            <w:r>
              <w:rPr>
                <w:rFonts w:hint="eastAsia"/>
                <w:color w:val="auto"/>
                <w:spacing w:val="-2"/>
                <w:lang w:val="en-US" w:eastAsia="zh-CN"/>
              </w:rPr>
              <w:t>三</w:t>
            </w:r>
            <w:r>
              <w:rPr>
                <w:color w:val="auto"/>
                <w:spacing w:val="-2"/>
              </w:rPr>
              <w:t>部分</w:t>
            </w:r>
            <w:r>
              <w:rPr>
                <w:rFonts w:hint="eastAsia"/>
                <w:color w:val="auto"/>
                <w:spacing w:val="-2"/>
                <w:lang w:val="en-US" w:eastAsia="zh-CN"/>
              </w:rPr>
              <w:t>招标</w:t>
            </w:r>
            <w:r>
              <w:rPr>
                <w:color w:val="auto"/>
                <w:spacing w:val="-2"/>
              </w:rPr>
              <w:t>内容和技术参数</w:t>
            </w:r>
          </w:p>
        </w:tc>
      </w:tr>
      <w:tr w14:paraId="316C8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24" w:type="dxa"/>
            <w:vAlign w:val="top"/>
          </w:tcPr>
          <w:p w14:paraId="16B12C13">
            <w:pPr>
              <w:spacing w:before="299" w:line="179" w:lineRule="auto"/>
              <w:ind w:left="348"/>
              <w:rPr>
                <w:rFonts w:ascii="Calibri" w:hAnsi="Calibri" w:eastAsia="Calibri" w:cs="Calibri"/>
                <w:color w:val="auto"/>
                <w:sz w:val="28"/>
                <w:szCs w:val="28"/>
              </w:rPr>
            </w:pPr>
            <w:r>
              <w:rPr>
                <w:rFonts w:ascii="Calibri" w:hAnsi="Calibri" w:eastAsia="Calibri" w:cs="Calibri"/>
                <w:color w:val="auto"/>
                <w:sz w:val="28"/>
                <w:szCs w:val="28"/>
              </w:rPr>
              <w:t>5</w:t>
            </w:r>
          </w:p>
        </w:tc>
        <w:tc>
          <w:tcPr>
            <w:tcW w:w="2289" w:type="dxa"/>
            <w:vAlign w:val="top"/>
          </w:tcPr>
          <w:p w14:paraId="06E34BAA">
            <w:pPr>
              <w:pStyle w:val="12"/>
              <w:spacing w:before="243" w:line="223" w:lineRule="auto"/>
              <w:rPr>
                <w:color w:val="auto"/>
              </w:rPr>
            </w:pPr>
            <w:r>
              <w:rPr>
                <w:color w:val="auto"/>
                <w:spacing w:val="-5"/>
              </w:rPr>
              <w:t>采购内容</w:t>
            </w:r>
          </w:p>
        </w:tc>
        <w:tc>
          <w:tcPr>
            <w:tcW w:w="6300" w:type="dxa"/>
            <w:vAlign w:val="top"/>
          </w:tcPr>
          <w:p w14:paraId="37C0474D">
            <w:pPr>
              <w:pStyle w:val="12"/>
              <w:spacing w:before="242" w:line="222" w:lineRule="auto"/>
              <w:ind w:left="118"/>
              <w:rPr>
                <w:color w:val="auto"/>
              </w:rPr>
            </w:pPr>
            <w:r>
              <w:rPr>
                <w:color w:val="auto"/>
                <w:spacing w:val="-2"/>
              </w:rPr>
              <w:t>详见第</w:t>
            </w:r>
            <w:r>
              <w:rPr>
                <w:rFonts w:hint="eastAsia"/>
                <w:color w:val="auto"/>
                <w:spacing w:val="-2"/>
                <w:lang w:val="en-US" w:eastAsia="zh-CN"/>
              </w:rPr>
              <w:t>三</w:t>
            </w:r>
            <w:r>
              <w:rPr>
                <w:color w:val="auto"/>
                <w:spacing w:val="-2"/>
              </w:rPr>
              <w:t>部分服务内容及要求</w:t>
            </w:r>
          </w:p>
        </w:tc>
      </w:tr>
      <w:tr w14:paraId="34965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24" w:type="dxa"/>
            <w:vAlign w:val="top"/>
          </w:tcPr>
          <w:p w14:paraId="274CB3BC">
            <w:pPr>
              <w:spacing w:before="220" w:line="189" w:lineRule="auto"/>
              <w:ind w:left="349"/>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6</w:t>
            </w:r>
          </w:p>
        </w:tc>
        <w:tc>
          <w:tcPr>
            <w:tcW w:w="2289" w:type="dxa"/>
            <w:vAlign w:val="top"/>
          </w:tcPr>
          <w:p w14:paraId="4205C0DE">
            <w:pPr>
              <w:pStyle w:val="12"/>
              <w:spacing w:before="172" w:line="223" w:lineRule="auto"/>
              <w:rPr>
                <w:color w:val="auto"/>
              </w:rPr>
            </w:pPr>
            <w:r>
              <w:rPr>
                <w:color w:val="auto"/>
                <w:spacing w:val="-5"/>
              </w:rPr>
              <w:t>采购方式</w:t>
            </w:r>
          </w:p>
        </w:tc>
        <w:tc>
          <w:tcPr>
            <w:tcW w:w="6300" w:type="dxa"/>
            <w:vAlign w:val="top"/>
          </w:tcPr>
          <w:p w14:paraId="392FD3A2">
            <w:pPr>
              <w:pStyle w:val="12"/>
              <w:spacing w:before="172" w:line="223" w:lineRule="auto"/>
              <w:ind w:left="134"/>
              <w:rPr>
                <w:rFonts w:hint="eastAsia" w:eastAsia="仿宋"/>
                <w:color w:val="auto"/>
                <w:lang w:eastAsia="zh-CN"/>
              </w:rPr>
            </w:pPr>
            <w:r>
              <w:rPr>
                <w:color w:val="auto"/>
                <w:spacing w:val="-9"/>
              </w:rPr>
              <w:t>院内</w:t>
            </w:r>
            <w:r>
              <w:rPr>
                <w:rFonts w:hint="eastAsia"/>
                <w:color w:val="auto"/>
                <w:spacing w:val="-9"/>
                <w:lang w:val="en-US" w:eastAsia="zh-CN"/>
              </w:rPr>
              <w:t>公开</w:t>
            </w:r>
            <w:r>
              <w:rPr>
                <w:rFonts w:hint="eastAsia"/>
                <w:color w:val="auto"/>
                <w:spacing w:val="-9"/>
                <w:lang w:eastAsia="zh-CN"/>
              </w:rPr>
              <w:t>招标</w:t>
            </w:r>
          </w:p>
        </w:tc>
      </w:tr>
      <w:tr w14:paraId="3724E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24" w:type="dxa"/>
            <w:vAlign w:val="top"/>
          </w:tcPr>
          <w:p w14:paraId="0E549A73">
            <w:pPr>
              <w:spacing w:before="224" w:line="186" w:lineRule="auto"/>
              <w:ind w:left="347"/>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7</w:t>
            </w:r>
          </w:p>
        </w:tc>
        <w:tc>
          <w:tcPr>
            <w:tcW w:w="2289" w:type="dxa"/>
            <w:vAlign w:val="top"/>
          </w:tcPr>
          <w:p w14:paraId="73C02269">
            <w:pPr>
              <w:pStyle w:val="12"/>
              <w:spacing w:before="174" w:line="223" w:lineRule="auto"/>
              <w:rPr>
                <w:color w:val="auto"/>
              </w:rPr>
            </w:pPr>
            <w:r>
              <w:rPr>
                <w:color w:val="auto"/>
                <w:spacing w:val="-6"/>
              </w:rPr>
              <w:t>资格审查方式</w:t>
            </w:r>
          </w:p>
        </w:tc>
        <w:tc>
          <w:tcPr>
            <w:tcW w:w="6300" w:type="dxa"/>
            <w:vAlign w:val="top"/>
          </w:tcPr>
          <w:p w14:paraId="198044DF">
            <w:pPr>
              <w:pStyle w:val="12"/>
              <w:spacing w:before="174" w:line="223" w:lineRule="auto"/>
              <w:ind w:left="132"/>
              <w:rPr>
                <w:color w:val="auto"/>
              </w:rPr>
            </w:pPr>
            <w:r>
              <w:rPr>
                <w:color w:val="auto"/>
                <w:spacing w:val="-8"/>
              </w:rPr>
              <w:t>资格</w:t>
            </w:r>
            <w:r>
              <w:rPr>
                <w:rFonts w:hint="eastAsia"/>
                <w:color w:val="auto"/>
                <w:spacing w:val="-8"/>
                <w:lang w:val="en-US" w:eastAsia="zh-CN"/>
              </w:rPr>
              <w:t>后</w:t>
            </w:r>
            <w:r>
              <w:rPr>
                <w:color w:val="auto"/>
                <w:spacing w:val="-8"/>
              </w:rPr>
              <w:t>审</w:t>
            </w:r>
          </w:p>
        </w:tc>
      </w:tr>
      <w:tr w14:paraId="474DF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24" w:type="dxa"/>
            <w:vAlign w:val="top"/>
          </w:tcPr>
          <w:p w14:paraId="3AD90200">
            <w:pPr>
              <w:spacing w:before="221" w:line="189" w:lineRule="auto"/>
              <w:ind w:left="354"/>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8</w:t>
            </w:r>
          </w:p>
        </w:tc>
        <w:tc>
          <w:tcPr>
            <w:tcW w:w="2289" w:type="dxa"/>
            <w:vAlign w:val="top"/>
          </w:tcPr>
          <w:p w14:paraId="7C6BBF64">
            <w:pPr>
              <w:pStyle w:val="12"/>
              <w:spacing w:before="172" w:line="222" w:lineRule="auto"/>
              <w:rPr>
                <w:color w:val="auto"/>
              </w:rPr>
            </w:pPr>
            <w:r>
              <w:rPr>
                <w:color w:val="auto"/>
                <w:spacing w:val="-4"/>
              </w:rPr>
              <w:t>投标保证金</w:t>
            </w:r>
          </w:p>
        </w:tc>
        <w:tc>
          <w:tcPr>
            <w:tcW w:w="6300" w:type="dxa"/>
            <w:vAlign w:val="top"/>
          </w:tcPr>
          <w:p w14:paraId="056BD121">
            <w:pPr>
              <w:pStyle w:val="12"/>
              <w:spacing w:before="173" w:line="226" w:lineRule="auto"/>
              <w:ind w:left="121"/>
              <w:rPr>
                <w:color w:val="auto"/>
              </w:rPr>
            </w:pPr>
            <w:r>
              <w:rPr>
                <w:color w:val="auto"/>
              </w:rPr>
              <w:t>无</w:t>
            </w:r>
          </w:p>
        </w:tc>
      </w:tr>
      <w:tr w14:paraId="347D8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824" w:type="dxa"/>
            <w:tcBorders>
              <w:bottom w:val="single" w:color="000000" w:sz="2" w:space="0"/>
            </w:tcBorders>
            <w:vAlign w:val="top"/>
          </w:tcPr>
          <w:p w14:paraId="7C4047B3">
            <w:pPr>
              <w:spacing w:line="306" w:lineRule="auto"/>
              <w:rPr>
                <w:rFonts w:ascii="Arial"/>
                <w:color w:val="auto"/>
                <w:sz w:val="21"/>
              </w:rPr>
            </w:pPr>
          </w:p>
          <w:p w14:paraId="25330FFF">
            <w:pPr>
              <w:spacing w:before="81" w:line="189" w:lineRule="auto"/>
              <w:ind w:left="348"/>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9</w:t>
            </w:r>
          </w:p>
        </w:tc>
        <w:tc>
          <w:tcPr>
            <w:tcW w:w="2289" w:type="dxa"/>
            <w:tcBorders>
              <w:bottom w:val="single" w:color="000000" w:sz="2" w:space="0"/>
            </w:tcBorders>
            <w:vAlign w:val="top"/>
          </w:tcPr>
          <w:p w14:paraId="4572097C">
            <w:pPr>
              <w:spacing w:line="248" w:lineRule="auto"/>
              <w:rPr>
                <w:rFonts w:ascii="Arial"/>
                <w:color w:val="auto"/>
                <w:sz w:val="21"/>
              </w:rPr>
            </w:pPr>
          </w:p>
          <w:p w14:paraId="72D67283">
            <w:pPr>
              <w:pStyle w:val="12"/>
              <w:spacing w:before="91" w:line="222" w:lineRule="auto"/>
              <w:rPr>
                <w:rFonts w:hint="default" w:eastAsia="仿宋"/>
                <w:color w:val="auto"/>
                <w:lang w:val="en-US" w:eastAsia="zh-CN"/>
              </w:rPr>
            </w:pPr>
            <w:r>
              <w:rPr>
                <w:rFonts w:hint="eastAsia"/>
                <w:color w:val="auto"/>
                <w:spacing w:val="-10"/>
                <w:lang w:val="en-US" w:eastAsia="zh-CN"/>
              </w:rPr>
              <w:t>控制价</w:t>
            </w:r>
          </w:p>
        </w:tc>
        <w:tc>
          <w:tcPr>
            <w:tcW w:w="6300" w:type="dxa"/>
            <w:tcBorders>
              <w:bottom w:val="single" w:color="000000" w:sz="2" w:space="0"/>
            </w:tcBorders>
            <w:vAlign w:val="top"/>
          </w:tcPr>
          <w:p w14:paraId="6F777B7F">
            <w:pPr>
              <w:spacing w:line="247" w:lineRule="auto"/>
              <w:rPr>
                <w:rFonts w:ascii="Arial"/>
                <w:color w:val="auto"/>
                <w:sz w:val="21"/>
              </w:rPr>
            </w:pPr>
          </w:p>
          <w:p w14:paraId="0E10116C">
            <w:pPr>
              <w:pStyle w:val="12"/>
              <w:spacing w:before="91" w:line="222" w:lineRule="auto"/>
              <w:ind w:left="122"/>
              <w:rPr>
                <w:color w:val="auto"/>
              </w:rPr>
            </w:pPr>
            <w:r>
              <w:rPr>
                <w:color w:val="auto"/>
                <w:spacing w:val="-3"/>
              </w:rPr>
              <w:t>人民币</w:t>
            </w:r>
            <w:r>
              <w:rPr>
                <w:rFonts w:hint="eastAsia"/>
                <w:color w:val="auto"/>
                <w:spacing w:val="-3"/>
                <w:lang w:val="en-US" w:eastAsia="zh-CN"/>
              </w:rPr>
              <w:t>伍万贰仟捌佰元整</w:t>
            </w:r>
            <w:r>
              <w:rPr>
                <w:color w:val="auto"/>
                <w:spacing w:val="-3"/>
              </w:rPr>
              <w:t>(￥</w:t>
            </w:r>
            <w:r>
              <w:rPr>
                <w:rFonts w:hint="eastAsia"/>
                <w:color w:val="auto"/>
                <w:spacing w:val="-3"/>
                <w:lang w:val="en-US" w:eastAsia="zh-CN"/>
              </w:rPr>
              <w:t>52800</w:t>
            </w:r>
            <w:r>
              <w:rPr>
                <w:color w:val="auto"/>
                <w:spacing w:val="-3"/>
              </w:rPr>
              <w:t>元）</w:t>
            </w:r>
          </w:p>
        </w:tc>
      </w:tr>
    </w:tbl>
    <w:p w14:paraId="0698F684">
      <w:pPr>
        <w:rPr>
          <w:rFonts w:ascii="Arial" w:hAnsi="Arial" w:eastAsia="Arial" w:cs="Arial"/>
          <w:color w:val="auto"/>
          <w:sz w:val="21"/>
          <w:szCs w:val="21"/>
        </w:rPr>
      </w:pPr>
    </w:p>
    <w:p w14:paraId="559B7B90">
      <w:pPr>
        <w:bidi w:val="0"/>
        <w:rPr>
          <w:rFonts w:ascii="Arial" w:hAnsi="Arial" w:eastAsia="Arial" w:cs="Arial"/>
          <w:snapToGrid w:val="0"/>
          <w:color w:val="auto"/>
          <w:kern w:val="0"/>
          <w:sz w:val="21"/>
          <w:szCs w:val="21"/>
          <w:lang w:val="en-US" w:eastAsia="en-US" w:bidi="ar-SA"/>
        </w:rPr>
      </w:pPr>
    </w:p>
    <w:p w14:paraId="3888987C">
      <w:pPr>
        <w:bidi w:val="0"/>
        <w:rPr>
          <w:color w:val="auto"/>
          <w:lang w:val="en-US" w:eastAsia="en-US"/>
        </w:rPr>
      </w:pPr>
    </w:p>
    <w:p w14:paraId="63DA8CF4">
      <w:pPr>
        <w:bidi w:val="0"/>
        <w:rPr>
          <w:color w:val="auto"/>
          <w:lang w:val="en-US" w:eastAsia="en-US"/>
        </w:rPr>
      </w:pPr>
    </w:p>
    <w:p w14:paraId="24FE81FE">
      <w:pPr>
        <w:tabs>
          <w:tab w:val="left" w:pos="2192"/>
        </w:tabs>
        <w:bidi w:val="0"/>
        <w:jc w:val="left"/>
        <w:rPr>
          <w:rFonts w:hint="eastAsia" w:eastAsia="宋体"/>
          <w:color w:val="auto"/>
          <w:lang w:val="en-US" w:eastAsia="zh-CN"/>
        </w:rPr>
        <w:sectPr>
          <w:footerReference r:id="rId7" w:type="default"/>
          <w:pgSz w:w="11906" w:h="16838"/>
          <w:pgMar w:top="1701" w:right="1474" w:bottom="1417" w:left="1474" w:header="0" w:footer="1072" w:gutter="0"/>
          <w:pgNumType w:fmt="decimal" w:start="3"/>
          <w:cols w:space="720" w:num="1"/>
        </w:sectPr>
      </w:pPr>
      <w:r>
        <w:rPr>
          <w:rFonts w:hint="eastAsia" w:eastAsia="宋体"/>
          <w:color w:val="auto"/>
          <w:lang w:val="en-US" w:eastAsia="zh-CN"/>
        </w:rPr>
        <w:tab/>
      </w:r>
    </w:p>
    <w:p w14:paraId="2541A41B">
      <w:pPr>
        <w:spacing w:before="113"/>
        <w:rPr>
          <w:color w:val="auto"/>
        </w:rPr>
      </w:pPr>
    </w:p>
    <w:tbl>
      <w:tblPr>
        <w:tblStyle w:val="13"/>
        <w:tblW w:w="94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2289"/>
        <w:gridCol w:w="6300"/>
      </w:tblGrid>
      <w:tr w14:paraId="41ABC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7" w:hRule="atLeast"/>
        </w:trPr>
        <w:tc>
          <w:tcPr>
            <w:tcW w:w="824" w:type="dxa"/>
            <w:tcBorders>
              <w:top w:val="single" w:color="000000" w:sz="2" w:space="0"/>
              <w:left w:val="single" w:color="000000" w:sz="2" w:space="0"/>
            </w:tcBorders>
            <w:vAlign w:val="top"/>
          </w:tcPr>
          <w:p w14:paraId="2E7138FB">
            <w:pPr>
              <w:spacing w:line="268" w:lineRule="auto"/>
              <w:rPr>
                <w:rFonts w:ascii="Arial"/>
                <w:color w:val="auto"/>
                <w:sz w:val="21"/>
              </w:rPr>
            </w:pPr>
          </w:p>
          <w:p w14:paraId="5CF87CB0">
            <w:pPr>
              <w:spacing w:line="268" w:lineRule="auto"/>
              <w:rPr>
                <w:rFonts w:ascii="Arial"/>
                <w:color w:val="auto"/>
                <w:sz w:val="21"/>
              </w:rPr>
            </w:pPr>
          </w:p>
          <w:p w14:paraId="5A00FB70">
            <w:pPr>
              <w:spacing w:line="268" w:lineRule="auto"/>
              <w:rPr>
                <w:rFonts w:ascii="Arial"/>
                <w:color w:val="auto"/>
                <w:sz w:val="21"/>
              </w:rPr>
            </w:pPr>
          </w:p>
          <w:p w14:paraId="126C46F0">
            <w:pPr>
              <w:spacing w:line="268" w:lineRule="auto"/>
              <w:rPr>
                <w:rFonts w:ascii="Arial"/>
                <w:color w:val="auto"/>
                <w:sz w:val="21"/>
              </w:rPr>
            </w:pPr>
          </w:p>
          <w:p w14:paraId="574674B5">
            <w:pPr>
              <w:spacing w:before="80" w:line="189" w:lineRule="auto"/>
              <w:ind w:left="300"/>
              <w:rPr>
                <w:rFonts w:ascii="Times New Roman" w:hAnsi="Times New Roman" w:eastAsia="Times New Roman" w:cs="Times New Roman"/>
                <w:color w:val="auto"/>
                <w:sz w:val="28"/>
                <w:szCs w:val="28"/>
              </w:rPr>
            </w:pPr>
            <w:r>
              <w:rPr>
                <w:rFonts w:ascii="Times New Roman" w:hAnsi="Times New Roman" w:eastAsia="Times New Roman" w:cs="Times New Roman"/>
                <w:color w:val="auto"/>
                <w:spacing w:val="-16"/>
                <w:sz w:val="28"/>
                <w:szCs w:val="28"/>
              </w:rPr>
              <w:t>10</w:t>
            </w:r>
          </w:p>
        </w:tc>
        <w:tc>
          <w:tcPr>
            <w:tcW w:w="2289" w:type="dxa"/>
            <w:tcBorders>
              <w:top w:val="single" w:color="000000" w:sz="2" w:space="0"/>
            </w:tcBorders>
            <w:vAlign w:val="top"/>
          </w:tcPr>
          <w:p w14:paraId="4EF3EAB1">
            <w:pPr>
              <w:spacing w:line="254" w:lineRule="auto"/>
              <w:rPr>
                <w:rFonts w:ascii="Arial"/>
                <w:color w:val="auto"/>
                <w:sz w:val="21"/>
              </w:rPr>
            </w:pPr>
          </w:p>
          <w:p w14:paraId="5007D261">
            <w:pPr>
              <w:spacing w:line="254" w:lineRule="auto"/>
              <w:rPr>
                <w:rFonts w:ascii="Arial"/>
                <w:color w:val="auto"/>
                <w:sz w:val="21"/>
              </w:rPr>
            </w:pPr>
          </w:p>
          <w:p w14:paraId="1B132AA8">
            <w:pPr>
              <w:spacing w:line="254" w:lineRule="auto"/>
              <w:rPr>
                <w:rFonts w:ascii="Arial"/>
                <w:color w:val="auto"/>
                <w:sz w:val="21"/>
              </w:rPr>
            </w:pPr>
          </w:p>
          <w:p w14:paraId="45FEE40D">
            <w:pPr>
              <w:spacing w:line="254" w:lineRule="auto"/>
              <w:rPr>
                <w:rFonts w:ascii="Arial"/>
                <w:color w:val="auto"/>
                <w:sz w:val="21"/>
              </w:rPr>
            </w:pPr>
          </w:p>
          <w:p w14:paraId="2984BA52">
            <w:pPr>
              <w:pStyle w:val="12"/>
              <w:spacing w:before="91" w:line="223" w:lineRule="auto"/>
              <w:rPr>
                <w:color w:val="auto"/>
              </w:rPr>
            </w:pPr>
            <w:r>
              <w:rPr>
                <w:color w:val="auto"/>
                <w:spacing w:val="-8"/>
              </w:rPr>
              <w:t>资格条件</w:t>
            </w:r>
          </w:p>
        </w:tc>
        <w:tc>
          <w:tcPr>
            <w:tcW w:w="6300" w:type="dxa"/>
            <w:tcBorders>
              <w:top w:val="single" w:color="000000" w:sz="2" w:space="0"/>
              <w:right w:val="single" w:color="000000" w:sz="2" w:space="0"/>
            </w:tcBorders>
            <w:vAlign w:val="top"/>
          </w:tcPr>
          <w:p w14:paraId="623B746B">
            <w:pPr>
              <w:pStyle w:val="12"/>
              <w:spacing w:before="287" w:line="222" w:lineRule="auto"/>
              <w:ind w:left="118"/>
              <w:rPr>
                <w:color w:val="auto"/>
                <w:spacing w:val="-2"/>
              </w:rPr>
            </w:pPr>
            <w:r>
              <w:rPr>
                <w:color w:val="auto"/>
                <w:spacing w:val="-2"/>
              </w:rPr>
              <w:t>（1）具有合格有效的营业执照；</w:t>
            </w:r>
          </w:p>
          <w:p w14:paraId="3F561AC2">
            <w:pPr>
              <w:pStyle w:val="12"/>
              <w:spacing w:before="287" w:line="222" w:lineRule="auto"/>
              <w:ind w:left="118"/>
              <w:rPr>
                <w:color w:val="auto"/>
                <w:spacing w:val="-2"/>
              </w:rPr>
            </w:pPr>
            <w:r>
              <w:rPr>
                <w:color w:val="auto"/>
                <w:spacing w:val="-2"/>
              </w:rPr>
              <w:t>（2）</w:t>
            </w:r>
            <w:r>
              <w:rPr>
                <w:rFonts w:hint="eastAsia"/>
                <w:color w:val="auto"/>
                <w:spacing w:val="-2"/>
                <w:lang w:val="en-US" w:eastAsia="zh-CN"/>
              </w:rPr>
              <w:t>有效期内的会计师事务所执业证书</w:t>
            </w:r>
            <w:r>
              <w:rPr>
                <w:color w:val="auto"/>
                <w:spacing w:val="-2"/>
              </w:rPr>
              <w:t>复印件；</w:t>
            </w:r>
          </w:p>
          <w:p w14:paraId="7AC390DF">
            <w:pPr>
              <w:pStyle w:val="12"/>
              <w:spacing w:before="287" w:line="222" w:lineRule="auto"/>
              <w:ind w:left="118"/>
              <w:rPr>
                <w:color w:val="auto"/>
                <w:spacing w:val="-2"/>
              </w:rPr>
            </w:pPr>
            <w:r>
              <w:rPr>
                <w:color w:val="auto"/>
                <w:spacing w:val="-2"/>
              </w:rPr>
              <w:t>（3）近三年经营活动中没有违法记录。</w:t>
            </w:r>
          </w:p>
          <w:p w14:paraId="41F56124">
            <w:pPr>
              <w:pStyle w:val="12"/>
              <w:keepNext w:val="0"/>
              <w:keepLines w:val="0"/>
              <w:pageBreakBefore w:val="0"/>
              <w:widowControl/>
              <w:kinsoku w:val="0"/>
              <w:wordWrap/>
              <w:overflowPunct/>
              <w:topLinePunct w:val="0"/>
              <w:autoSpaceDE w:val="0"/>
              <w:autoSpaceDN w:val="0"/>
              <w:bidi w:val="0"/>
              <w:adjustRightInd w:val="0"/>
              <w:snapToGrid w:val="0"/>
              <w:spacing w:before="285" w:line="353" w:lineRule="auto"/>
              <w:ind w:left="119" w:right="42" w:rightChars="20" w:firstLine="6"/>
              <w:jc w:val="both"/>
              <w:textAlignment w:val="baseline"/>
              <w:rPr>
                <w:rFonts w:hint="default"/>
                <w:color w:val="auto"/>
                <w:spacing w:val="-2"/>
                <w:lang w:val="en-US" w:eastAsia="zh-CN"/>
              </w:rPr>
            </w:pPr>
            <w:r>
              <w:rPr>
                <w:rFonts w:hint="eastAsia"/>
                <w:color w:val="auto"/>
                <w:spacing w:val="-2"/>
                <w:lang w:val="en-US" w:eastAsia="zh-CN"/>
              </w:rPr>
              <w:t>注：</w:t>
            </w:r>
            <w:r>
              <w:rPr>
                <w:rFonts w:hint="eastAsia"/>
                <w:color w:val="auto"/>
                <w:spacing w:val="-3"/>
                <w:lang w:val="en-US" w:eastAsia="zh-CN"/>
              </w:rPr>
              <w:t>单位负责人为同一人或存在直接管理或控股的不同供应商，不得同时参加本次采购相关活动；本项目不接受联合体报价，不允许转包、</w:t>
            </w:r>
            <w:r>
              <w:rPr>
                <w:rFonts w:hint="eastAsia"/>
                <w:color w:val="auto"/>
                <w:spacing w:val="-2"/>
                <w:lang w:val="en-US" w:eastAsia="zh-CN"/>
              </w:rPr>
              <w:t>分包。</w:t>
            </w:r>
          </w:p>
        </w:tc>
      </w:tr>
      <w:tr w14:paraId="6BA33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2" w:hRule="atLeast"/>
        </w:trPr>
        <w:tc>
          <w:tcPr>
            <w:tcW w:w="824" w:type="dxa"/>
            <w:tcBorders>
              <w:left w:val="single" w:color="000000" w:sz="2" w:space="0"/>
              <w:bottom w:val="single" w:color="000000" w:sz="2" w:space="0"/>
            </w:tcBorders>
            <w:vAlign w:val="top"/>
          </w:tcPr>
          <w:p w14:paraId="03FBDE3F">
            <w:pPr>
              <w:spacing w:line="256" w:lineRule="auto"/>
              <w:rPr>
                <w:rFonts w:ascii="Arial"/>
                <w:color w:val="auto"/>
                <w:sz w:val="21"/>
              </w:rPr>
            </w:pPr>
          </w:p>
          <w:p w14:paraId="4A9A75B7">
            <w:pPr>
              <w:spacing w:line="256" w:lineRule="auto"/>
              <w:rPr>
                <w:rFonts w:ascii="Arial"/>
                <w:color w:val="auto"/>
                <w:sz w:val="21"/>
              </w:rPr>
            </w:pPr>
          </w:p>
          <w:p w14:paraId="0F7810FB">
            <w:pPr>
              <w:spacing w:line="256" w:lineRule="auto"/>
              <w:rPr>
                <w:rFonts w:ascii="Arial"/>
                <w:color w:val="auto"/>
                <w:sz w:val="21"/>
              </w:rPr>
            </w:pPr>
          </w:p>
          <w:p w14:paraId="5317CFF3">
            <w:pPr>
              <w:spacing w:line="256" w:lineRule="auto"/>
              <w:rPr>
                <w:rFonts w:ascii="Arial"/>
                <w:color w:val="auto"/>
                <w:sz w:val="21"/>
              </w:rPr>
            </w:pPr>
          </w:p>
          <w:p w14:paraId="6D87BE8D">
            <w:pPr>
              <w:spacing w:line="256" w:lineRule="auto"/>
              <w:rPr>
                <w:rFonts w:ascii="Arial"/>
                <w:color w:val="auto"/>
                <w:sz w:val="21"/>
              </w:rPr>
            </w:pPr>
          </w:p>
          <w:p w14:paraId="11AD92DD">
            <w:pPr>
              <w:spacing w:line="256" w:lineRule="auto"/>
              <w:rPr>
                <w:rFonts w:ascii="Arial"/>
                <w:color w:val="auto"/>
                <w:sz w:val="21"/>
              </w:rPr>
            </w:pPr>
          </w:p>
          <w:p w14:paraId="705FD2D2">
            <w:pPr>
              <w:spacing w:line="256" w:lineRule="auto"/>
              <w:rPr>
                <w:rFonts w:ascii="Arial"/>
                <w:color w:val="auto"/>
                <w:sz w:val="21"/>
              </w:rPr>
            </w:pPr>
          </w:p>
          <w:p w14:paraId="4D37ECDB">
            <w:pPr>
              <w:spacing w:line="257" w:lineRule="auto"/>
              <w:rPr>
                <w:rFonts w:ascii="Arial"/>
                <w:color w:val="auto"/>
                <w:sz w:val="21"/>
              </w:rPr>
            </w:pPr>
          </w:p>
          <w:p w14:paraId="18FA8C6E">
            <w:pPr>
              <w:spacing w:line="257" w:lineRule="auto"/>
              <w:rPr>
                <w:rFonts w:ascii="Arial"/>
                <w:color w:val="auto"/>
                <w:sz w:val="21"/>
              </w:rPr>
            </w:pPr>
          </w:p>
          <w:p w14:paraId="194F1763">
            <w:pPr>
              <w:spacing w:before="80" w:line="189" w:lineRule="auto"/>
              <w:ind w:left="300"/>
              <w:rPr>
                <w:rFonts w:ascii="Times New Roman" w:hAnsi="Times New Roman" w:eastAsia="Times New Roman" w:cs="Times New Roman"/>
                <w:color w:val="auto"/>
                <w:sz w:val="28"/>
                <w:szCs w:val="28"/>
              </w:rPr>
            </w:pPr>
            <w:r>
              <w:rPr>
                <w:rFonts w:ascii="Times New Roman" w:hAnsi="Times New Roman" w:eastAsia="Times New Roman" w:cs="Times New Roman"/>
                <w:color w:val="auto"/>
                <w:spacing w:val="-16"/>
                <w:sz w:val="28"/>
                <w:szCs w:val="28"/>
              </w:rPr>
              <w:t>11</w:t>
            </w:r>
          </w:p>
        </w:tc>
        <w:tc>
          <w:tcPr>
            <w:tcW w:w="2289" w:type="dxa"/>
            <w:tcBorders>
              <w:bottom w:val="single" w:color="000000" w:sz="2" w:space="0"/>
            </w:tcBorders>
            <w:vAlign w:val="top"/>
          </w:tcPr>
          <w:p w14:paraId="072B6566">
            <w:pPr>
              <w:spacing w:line="250" w:lineRule="auto"/>
              <w:rPr>
                <w:rFonts w:ascii="Arial"/>
                <w:color w:val="auto"/>
                <w:sz w:val="21"/>
              </w:rPr>
            </w:pPr>
          </w:p>
          <w:p w14:paraId="10524D65">
            <w:pPr>
              <w:spacing w:line="250" w:lineRule="auto"/>
              <w:rPr>
                <w:rFonts w:ascii="Arial"/>
                <w:color w:val="auto"/>
                <w:sz w:val="21"/>
              </w:rPr>
            </w:pPr>
          </w:p>
          <w:p w14:paraId="6014DE28">
            <w:pPr>
              <w:spacing w:line="250" w:lineRule="auto"/>
              <w:rPr>
                <w:rFonts w:ascii="Arial"/>
                <w:color w:val="auto"/>
                <w:sz w:val="21"/>
              </w:rPr>
            </w:pPr>
          </w:p>
          <w:p w14:paraId="1918C852">
            <w:pPr>
              <w:spacing w:line="250" w:lineRule="auto"/>
              <w:rPr>
                <w:rFonts w:ascii="Arial"/>
                <w:color w:val="auto"/>
                <w:sz w:val="21"/>
              </w:rPr>
            </w:pPr>
          </w:p>
          <w:p w14:paraId="75391343">
            <w:pPr>
              <w:spacing w:line="250" w:lineRule="auto"/>
              <w:rPr>
                <w:rFonts w:ascii="Arial"/>
                <w:color w:val="auto"/>
                <w:sz w:val="21"/>
              </w:rPr>
            </w:pPr>
          </w:p>
          <w:p w14:paraId="1D3676DF">
            <w:pPr>
              <w:spacing w:line="250" w:lineRule="auto"/>
              <w:rPr>
                <w:rFonts w:ascii="Arial"/>
                <w:color w:val="auto"/>
                <w:sz w:val="21"/>
              </w:rPr>
            </w:pPr>
          </w:p>
          <w:p w14:paraId="34069564">
            <w:pPr>
              <w:spacing w:line="250" w:lineRule="auto"/>
              <w:rPr>
                <w:rFonts w:ascii="Arial"/>
                <w:color w:val="auto"/>
                <w:sz w:val="21"/>
              </w:rPr>
            </w:pPr>
          </w:p>
          <w:p w14:paraId="1476EBFB">
            <w:pPr>
              <w:spacing w:line="250" w:lineRule="auto"/>
              <w:rPr>
                <w:rFonts w:ascii="Arial"/>
                <w:color w:val="auto"/>
                <w:sz w:val="21"/>
              </w:rPr>
            </w:pPr>
          </w:p>
          <w:p w14:paraId="3C1533A3">
            <w:pPr>
              <w:spacing w:line="250" w:lineRule="auto"/>
              <w:rPr>
                <w:rFonts w:ascii="Arial"/>
                <w:color w:val="auto"/>
                <w:sz w:val="21"/>
              </w:rPr>
            </w:pPr>
          </w:p>
          <w:p w14:paraId="096FDD3B">
            <w:pPr>
              <w:pStyle w:val="12"/>
              <w:spacing w:before="91" w:line="223" w:lineRule="auto"/>
              <w:rPr>
                <w:color w:val="auto"/>
              </w:rPr>
            </w:pPr>
            <w:r>
              <w:rPr>
                <w:color w:val="auto"/>
                <w:spacing w:val="-5"/>
              </w:rPr>
              <w:t>响应文件要求</w:t>
            </w:r>
          </w:p>
        </w:tc>
        <w:tc>
          <w:tcPr>
            <w:tcW w:w="6300" w:type="dxa"/>
            <w:tcBorders>
              <w:bottom w:val="single" w:color="000000" w:sz="2" w:space="0"/>
              <w:right w:val="single" w:color="000000" w:sz="2" w:space="0"/>
            </w:tcBorders>
            <w:vAlign w:val="top"/>
          </w:tcPr>
          <w:p w14:paraId="79013FEF">
            <w:pPr>
              <w:pStyle w:val="12"/>
              <w:spacing w:before="171" w:line="222" w:lineRule="auto"/>
              <w:ind w:left="118"/>
              <w:rPr>
                <w:color w:val="auto"/>
              </w:rPr>
            </w:pPr>
            <w:r>
              <w:rPr>
                <w:color w:val="auto"/>
                <w:spacing w:val="-2"/>
              </w:rPr>
              <w:t>（</w:t>
            </w:r>
            <w:r>
              <w:rPr>
                <w:rFonts w:ascii="Calibri" w:hAnsi="Calibri" w:eastAsia="Calibri" w:cs="Calibri"/>
                <w:color w:val="auto"/>
                <w:spacing w:val="-2"/>
              </w:rPr>
              <w:t>1</w:t>
            </w:r>
            <w:r>
              <w:rPr>
                <w:color w:val="auto"/>
                <w:spacing w:val="-2"/>
              </w:rPr>
              <w:t>）合格有效的营业执照复印件；</w:t>
            </w:r>
          </w:p>
          <w:p w14:paraId="3F1C961C">
            <w:pPr>
              <w:pStyle w:val="12"/>
              <w:spacing w:before="287" w:line="222" w:lineRule="auto"/>
              <w:ind w:left="118"/>
              <w:rPr>
                <w:color w:val="auto"/>
              </w:rPr>
            </w:pPr>
            <w:r>
              <w:rPr>
                <w:color w:val="auto"/>
                <w:spacing w:val="-2"/>
              </w:rPr>
              <w:t>（</w:t>
            </w:r>
            <w:r>
              <w:rPr>
                <w:rFonts w:ascii="Calibri" w:hAnsi="Calibri" w:eastAsia="Calibri" w:cs="Calibri"/>
                <w:color w:val="auto"/>
                <w:spacing w:val="-2"/>
              </w:rPr>
              <w:t>2</w:t>
            </w:r>
            <w:r>
              <w:rPr>
                <w:color w:val="auto"/>
                <w:spacing w:val="-2"/>
              </w:rPr>
              <w:t>）投标人代表有效身份证明复印件；</w:t>
            </w:r>
          </w:p>
          <w:p w14:paraId="4FCB44EB">
            <w:pPr>
              <w:pStyle w:val="12"/>
              <w:spacing w:before="286" w:line="223" w:lineRule="auto"/>
              <w:ind w:left="118"/>
              <w:rPr>
                <w:color w:val="auto"/>
              </w:rPr>
            </w:pPr>
            <w:r>
              <w:rPr>
                <w:color w:val="auto"/>
                <w:spacing w:val="-2"/>
              </w:rPr>
              <w:t>（</w:t>
            </w:r>
            <w:r>
              <w:rPr>
                <w:rFonts w:ascii="Calibri" w:hAnsi="Calibri" w:eastAsia="Calibri" w:cs="Calibri"/>
                <w:color w:val="auto"/>
                <w:spacing w:val="-2"/>
              </w:rPr>
              <w:t>3</w:t>
            </w:r>
            <w:r>
              <w:rPr>
                <w:color w:val="auto"/>
                <w:spacing w:val="-2"/>
              </w:rPr>
              <w:t>）授权委托书原件；</w:t>
            </w:r>
          </w:p>
          <w:p w14:paraId="68D996A6">
            <w:pPr>
              <w:pStyle w:val="12"/>
              <w:spacing w:before="285" w:line="221" w:lineRule="auto"/>
              <w:ind w:left="118"/>
              <w:rPr>
                <w:color w:val="auto"/>
              </w:rPr>
            </w:pPr>
            <w:r>
              <w:rPr>
                <w:color w:val="auto"/>
                <w:spacing w:val="-2"/>
              </w:rPr>
              <w:t>（</w:t>
            </w:r>
            <w:r>
              <w:rPr>
                <w:rFonts w:ascii="Calibri" w:hAnsi="Calibri" w:eastAsia="Calibri" w:cs="Calibri"/>
                <w:color w:val="auto"/>
                <w:spacing w:val="-2"/>
              </w:rPr>
              <w:t>4</w:t>
            </w:r>
            <w:r>
              <w:rPr>
                <w:color w:val="auto"/>
                <w:spacing w:val="-2"/>
              </w:rPr>
              <w:t>）没有重大违法记录声明；</w:t>
            </w:r>
          </w:p>
          <w:p w14:paraId="3127F3F3">
            <w:pPr>
              <w:pStyle w:val="12"/>
              <w:spacing w:before="289" w:line="223" w:lineRule="auto"/>
              <w:ind w:left="118"/>
              <w:rPr>
                <w:color w:val="auto"/>
              </w:rPr>
            </w:pPr>
            <w:r>
              <w:rPr>
                <w:color w:val="auto"/>
                <w:spacing w:val="-3"/>
              </w:rPr>
              <w:t>（</w:t>
            </w:r>
            <w:r>
              <w:rPr>
                <w:rFonts w:ascii="Calibri" w:hAnsi="Calibri" w:eastAsia="Calibri" w:cs="Calibri"/>
                <w:color w:val="auto"/>
                <w:spacing w:val="-3"/>
              </w:rPr>
              <w:t>5</w:t>
            </w:r>
            <w:r>
              <w:rPr>
                <w:color w:val="auto"/>
                <w:spacing w:val="-3"/>
              </w:rPr>
              <w:t>）</w:t>
            </w:r>
            <w:r>
              <w:rPr>
                <w:rFonts w:hint="eastAsia"/>
                <w:color w:val="auto"/>
                <w:spacing w:val="-2"/>
              </w:rPr>
              <w:t>技术和商务条件要求响应表</w:t>
            </w:r>
            <w:r>
              <w:rPr>
                <w:color w:val="auto"/>
                <w:spacing w:val="-3"/>
              </w:rPr>
              <w:t>；</w:t>
            </w:r>
          </w:p>
          <w:p w14:paraId="38D0D828">
            <w:pPr>
              <w:pStyle w:val="12"/>
              <w:spacing w:before="286" w:line="223" w:lineRule="auto"/>
              <w:ind w:left="118"/>
              <w:rPr>
                <w:color w:val="auto"/>
              </w:rPr>
            </w:pPr>
            <w:r>
              <w:rPr>
                <w:color w:val="auto"/>
                <w:spacing w:val="-2"/>
              </w:rPr>
              <w:t>（</w:t>
            </w:r>
            <w:r>
              <w:rPr>
                <w:rFonts w:ascii="Calibri" w:hAnsi="Calibri" w:eastAsia="Calibri" w:cs="Calibri"/>
                <w:color w:val="auto"/>
                <w:spacing w:val="-2"/>
              </w:rPr>
              <w:t>6</w:t>
            </w:r>
            <w:r>
              <w:rPr>
                <w:color w:val="auto"/>
                <w:spacing w:val="-2"/>
              </w:rPr>
              <w:t>）</w:t>
            </w:r>
            <w:r>
              <w:rPr>
                <w:rFonts w:hint="eastAsia"/>
                <w:color w:val="auto"/>
                <w:spacing w:val="-3"/>
                <w:lang w:val="en-US" w:eastAsia="zh-CN"/>
              </w:rPr>
              <w:t>方案书（含报价部分）</w:t>
            </w:r>
            <w:r>
              <w:rPr>
                <w:color w:val="auto"/>
                <w:spacing w:val="-2"/>
              </w:rPr>
              <w:t>。</w:t>
            </w:r>
          </w:p>
          <w:p w14:paraId="58C90181">
            <w:pPr>
              <w:pStyle w:val="12"/>
              <w:spacing w:before="285" w:line="352" w:lineRule="auto"/>
              <w:ind w:left="117" w:right="171" w:firstLine="8"/>
              <w:rPr>
                <w:color w:val="auto"/>
              </w:rPr>
            </w:pPr>
            <w:r>
              <w:rPr>
                <w:color w:val="auto"/>
                <w:spacing w:val="-3"/>
              </w:rPr>
              <w:t>响应文件：</w:t>
            </w:r>
            <w:r>
              <w:rPr>
                <w:rFonts w:ascii="Calibri" w:hAnsi="Calibri" w:eastAsia="Calibri" w:cs="Calibri"/>
                <w:color w:val="auto"/>
                <w:spacing w:val="-3"/>
              </w:rPr>
              <w:t>1</w:t>
            </w:r>
            <w:r>
              <w:rPr>
                <w:color w:val="auto"/>
                <w:spacing w:val="-3"/>
              </w:rPr>
              <w:t>套正本，</w:t>
            </w:r>
            <w:r>
              <w:rPr>
                <w:rFonts w:ascii="Calibri" w:hAnsi="Calibri" w:eastAsia="Calibri" w:cs="Calibri"/>
                <w:color w:val="auto"/>
                <w:spacing w:val="-3"/>
              </w:rPr>
              <w:t>3</w:t>
            </w:r>
            <w:r>
              <w:rPr>
                <w:color w:val="auto"/>
                <w:spacing w:val="-3"/>
              </w:rPr>
              <w:t>套副本。以上材料</w:t>
            </w:r>
            <w:r>
              <w:rPr>
                <w:color w:val="auto"/>
                <w:spacing w:val="-4"/>
              </w:rPr>
              <w:t>胶装后</w:t>
            </w:r>
            <w:r>
              <w:rPr>
                <w:color w:val="auto"/>
                <w:spacing w:val="-1"/>
              </w:rPr>
              <w:t>用信封密封，封口加盖公章，复印件加盖公章。</w:t>
            </w:r>
          </w:p>
        </w:tc>
      </w:tr>
      <w:tr w14:paraId="2D365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0" w:hRule="atLeast"/>
        </w:trPr>
        <w:tc>
          <w:tcPr>
            <w:tcW w:w="824" w:type="dxa"/>
            <w:tcBorders>
              <w:top w:val="single" w:color="000000" w:sz="2" w:space="0"/>
              <w:bottom w:val="single" w:color="000000" w:sz="2" w:space="0"/>
            </w:tcBorders>
            <w:vAlign w:val="top"/>
          </w:tcPr>
          <w:p w14:paraId="70F8C162">
            <w:pPr>
              <w:spacing w:line="241" w:lineRule="auto"/>
              <w:rPr>
                <w:rFonts w:ascii="Arial"/>
                <w:color w:val="auto"/>
                <w:sz w:val="21"/>
              </w:rPr>
            </w:pPr>
          </w:p>
          <w:p w14:paraId="3817C9EE">
            <w:pPr>
              <w:spacing w:line="242" w:lineRule="auto"/>
              <w:rPr>
                <w:rFonts w:ascii="Arial"/>
                <w:color w:val="auto"/>
                <w:sz w:val="21"/>
              </w:rPr>
            </w:pPr>
          </w:p>
          <w:p w14:paraId="5418679B">
            <w:pPr>
              <w:spacing w:line="242" w:lineRule="auto"/>
              <w:rPr>
                <w:rFonts w:ascii="Arial"/>
                <w:color w:val="auto"/>
                <w:sz w:val="21"/>
              </w:rPr>
            </w:pPr>
          </w:p>
          <w:p w14:paraId="4195E8B2">
            <w:pPr>
              <w:spacing w:line="242" w:lineRule="auto"/>
              <w:rPr>
                <w:rFonts w:ascii="Arial"/>
                <w:color w:val="auto"/>
                <w:sz w:val="21"/>
              </w:rPr>
            </w:pPr>
          </w:p>
          <w:p w14:paraId="388663A9">
            <w:pPr>
              <w:spacing w:line="242" w:lineRule="auto"/>
              <w:rPr>
                <w:rFonts w:ascii="Arial"/>
                <w:color w:val="auto"/>
                <w:sz w:val="21"/>
              </w:rPr>
            </w:pPr>
          </w:p>
          <w:p w14:paraId="2E7A83BD">
            <w:pPr>
              <w:spacing w:line="242" w:lineRule="auto"/>
              <w:rPr>
                <w:rFonts w:ascii="Arial"/>
                <w:color w:val="auto"/>
                <w:sz w:val="21"/>
              </w:rPr>
            </w:pPr>
          </w:p>
          <w:p w14:paraId="752BA9B7">
            <w:pPr>
              <w:spacing w:line="242" w:lineRule="auto"/>
              <w:rPr>
                <w:rFonts w:ascii="Arial"/>
                <w:color w:val="auto"/>
                <w:sz w:val="21"/>
              </w:rPr>
            </w:pPr>
          </w:p>
          <w:p w14:paraId="073468A8">
            <w:pPr>
              <w:spacing w:before="80" w:line="189" w:lineRule="auto"/>
              <w:ind w:left="297"/>
              <w:rPr>
                <w:rFonts w:ascii="Times New Roman" w:hAnsi="Times New Roman" w:eastAsia="Times New Roman" w:cs="Times New Roman"/>
                <w:color w:val="auto"/>
                <w:sz w:val="28"/>
                <w:szCs w:val="28"/>
              </w:rPr>
            </w:pPr>
            <w:r>
              <w:rPr>
                <w:rFonts w:ascii="Times New Roman" w:hAnsi="Times New Roman" w:eastAsia="Times New Roman" w:cs="Times New Roman"/>
                <w:color w:val="auto"/>
                <w:spacing w:val="-16"/>
                <w:sz w:val="28"/>
                <w:szCs w:val="28"/>
              </w:rPr>
              <w:t>12</w:t>
            </w:r>
          </w:p>
        </w:tc>
        <w:tc>
          <w:tcPr>
            <w:tcW w:w="2289" w:type="dxa"/>
            <w:tcBorders>
              <w:top w:val="single" w:color="000000" w:sz="2" w:space="0"/>
              <w:bottom w:val="single" w:color="000000" w:sz="2" w:space="0"/>
            </w:tcBorders>
            <w:vAlign w:val="top"/>
          </w:tcPr>
          <w:p w14:paraId="13006F71">
            <w:pPr>
              <w:keepNext w:val="0"/>
              <w:keepLines w:val="0"/>
              <w:pageBreakBefore w:val="0"/>
              <w:widowControl/>
              <w:kinsoku w:val="0"/>
              <w:wordWrap/>
              <w:overflowPunct/>
              <w:topLinePunct w:val="0"/>
              <w:autoSpaceDE w:val="0"/>
              <w:autoSpaceDN w:val="0"/>
              <w:bidi w:val="0"/>
              <w:adjustRightInd w:val="0"/>
              <w:snapToGrid w:val="0"/>
              <w:spacing w:line="272" w:lineRule="auto"/>
              <w:jc w:val="both"/>
              <w:textAlignment w:val="baseline"/>
              <w:rPr>
                <w:rFonts w:ascii="Arial"/>
                <w:color w:val="auto"/>
                <w:sz w:val="21"/>
              </w:rPr>
            </w:pPr>
          </w:p>
          <w:p w14:paraId="2E8B1C95">
            <w:pPr>
              <w:keepNext w:val="0"/>
              <w:keepLines w:val="0"/>
              <w:pageBreakBefore w:val="0"/>
              <w:widowControl/>
              <w:kinsoku w:val="0"/>
              <w:wordWrap/>
              <w:overflowPunct/>
              <w:topLinePunct w:val="0"/>
              <w:autoSpaceDE w:val="0"/>
              <w:autoSpaceDN w:val="0"/>
              <w:bidi w:val="0"/>
              <w:adjustRightInd w:val="0"/>
              <w:snapToGrid w:val="0"/>
              <w:spacing w:line="272" w:lineRule="auto"/>
              <w:jc w:val="both"/>
              <w:textAlignment w:val="baseline"/>
              <w:rPr>
                <w:rFonts w:ascii="Arial"/>
                <w:color w:val="auto"/>
                <w:sz w:val="21"/>
              </w:rPr>
            </w:pPr>
          </w:p>
          <w:p w14:paraId="2DF3F049">
            <w:pPr>
              <w:keepNext w:val="0"/>
              <w:keepLines w:val="0"/>
              <w:pageBreakBefore w:val="0"/>
              <w:widowControl/>
              <w:kinsoku w:val="0"/>
              <w:wordWrap/>
              <w:overflowPunct/>
              <w:topLinePunct w:val="0"/>
              <w:autoSpaceDE w:val="0"/>
              <w:autoSpaceDN w:val="0"/>
              <w:bidi w:val="0"/>
              <w:adjustRightInd w:val="0"/>
              <w:snapToGrid w:val="0"/>
              <w:spacing w:line="272" w:lineRule="auto"/>
              <w:jc w:val="both"/>
              <w:textAlignment w:val="baseline"/>
              <w:rPr>
                <w:rFonts w:ascii="Arial"/>
                <w:color w:val="auto"/>
                <w:sz w:val="21"/>
              </w:rPr>
            </w:pPr>
          </w:p>
          <w:p w14:paraId="43C4A63C">
            <w:pPr>
              <w:keepNext w:val="0"/>
              <w:keepLines w:val="0"/>
              <w:pageBreakBefore w:val="0"/>
              <w:widowControl/>
              <w:kinsoku w:val="0"/>
              <w:wordWrap/>
              <w:overflowPunct/>
              <w:topLinePunct w:val="0"/>
              <w:autoSpaceDE w:val="0"/>
              <w:autoSpaceDN w:val="0"/>
              <w:bidi w:val="0"/>
              <w:adjustRightInd w:val="0"/>
              <w:snapToGrid w:val="0"/>
              <w:spacing w:line="272" w:lineRule="auto"/>
              <w:jc w:val="both"/>
              <w:textAlignment w:val="baseline"/>
              <w:rPr>
                <w:rFonts w:ascii="Arial"/>
                <w:color w:val="auto"/>
                <w:sz w:val="21"/>
              </w:rPr>
            </w:pPr>
          </w:p>
          <w:p w14:paraId="0090F224">
            <w:pPr>
              <w:keepNext w:val="0"/>
              <w:keepLines w:val="0"/>
              <w:pageBreakBefore w:val="0"/>
              <w:widowControl/>
              <w:kinsoku w:val="0"/>
              <w:wordWrap/>
              <w:overflowPunct/>
              <w:topLinePunct w:val="0"/>
              <w:autoSpaceDE w:val="0"/>
              <w:autoSpaceDN w:val="0"/>
              <w:bidi w:val="0"/>
              <w:adjustRightInd w:val="0"/>
              <w:snapToGrid w:val="0"/>
              <w:spacing w:line="273" w:lineRule="auto"/>
              <w:jc w:val="both"/>
              <w:textAlignment w:val="baseline"/>
              <w:rPr>
                <w:rFonts w:ascii="Arial"/>
                <w:color w:val="auto"/>
                <w:sz w:val="21"/>
              </w:rPr>
            </w:pPr>
          </w:p>
          <w:p w14:paraId="499BEF6C">
            <w:pPr>
              <w:keepNext w:val="0"/>
              <w:keepLines w:val="0"/>
              <w:pageBreakBefore w:val="0"/>
              <w:widowControl/>
              <w:kinsoku w:val="0"/>
              <w:wordWrap/>
              <w:overflowPunct/>
              <w:topLinePunct w:val="0"/>
              <w:autoSpaceDE w:val="0"/>
              <w:autoSpaceDN w:val="0"/>
              <w:bidi w:val="0"/>
              <w:adjustRightInd w:val="0"/>
              <w:snapToGrid w:val="0"/>
              <w:spacing w:line="273" w:lineRule="auto"/>
              <w:jc w:val="both"/>
              <w:textAlignment w:val="baseline"/>
              <w:rPr>
                <w:rFonts w:ascii="Arial"/>
                <w:color w:val="auto"/>
                <w:sz w:val="21"/>
              </w:rPr>
            </w:pPr>
          </w:p>
          <w:p w14:paraId="78C02777">
            <w:pPr>
              <w:pStyle w:val="12"/>
              <w:keepNext w:val="0"/>
              <w:keepLines w:val="0"/>
              <w:pageBreakBefore w:val="0"/>
              <w:widowControl/>
              <w:kinsoku w:val="0"/>
              <w:wordWrap/>
              <w:overflowPunct/>
              <w:topLinePunct w:val="0"/>
              <w:autoSpaceDE w:val="0"/>
              <w:autoSpaceDN w:val="0"/>
              <w:bidi w:val="0"/>
              <w:adjustRightInd w:val="0"/>
              <w:snapToGrid w:val="0"/>
              <w:spacing w:line="224" w:lineRule="auto"/>
              <w:jc w:val="both"/>
              <w:textAlignment w:val="baseline"/>
              <w:rPr>
                <w:color w:val="auto"/>
              </w:rPr>
            </w:pPr>
            <w:r>
              <w:rPr>
                <w:color w:val="auto"/>
                <w:spacing w:val="-5"/>
              </w:rPr>
              <w:t>合同主要条款</w:t>
            </w:r>
          </w:p>
        </w:tc>
        <w:tc>
          <w:tcPr>
            <w:tcW w:w="6300" w:type="dxa"/>
            <w:tcBorders>
              <w:top w:val="single" w:color="000000" w:sz="2" w:space="0"/>
              <w:bottom w:val="single" w:color="000000" w:sz="2" w:space="0"/>
            </w:tcBorders>
            <w:vAlign w:val="top"/>
          </w:tcPr>
          <w:p w14:paraId="2878ABCB">
            <w:pPr>
              <w:pStyle w:val="12"/>
              <w:keepNext w:val="0"/>
              <w:keepLines w:val="0"/>
              <w:pageBreakBefore w:val="0"/>
              <w:widowControl/>
              <w:kinsoku w:val="0"/>
              <w:wordWrap/>
              <w:overflowPunct/>
              <w:topLinePunct w:val="0"/>
              <w:autoSpaceDE w:val="0"/>
              <w:autoSpaceDN w:val="0"/>
              <w:bidi w:val="0"/>
              <w:adjustRightInd w:val="0"/>
              <w:snapToGrid w:val="0"/>
              <w:spacing w:line="352" w:lineRule="auto"/>
              <w:ind w:left="117" w:right="171" w:firstLine="8"/>
              <w:jc w:val="both"/>
              <w:textAlignment w:val="baseline"/>
              <w:rPr>
                <w:rFonts w:hint="eastAsia"/>
                <w:color w:val="auto"/>
                <w:spacing w:val="-3"/>
              </w:rPr>
            </w:pPr>
            <w:r>
              <w:rPr>
                <w:rFonts w:hint="eastAsia"/>
                <w:color w:val="auto"/>
                <w:spacing w:val="-3"/>
                <w:lang w:val="en-US" w:eastAsia="zh-CN"/>
              </w:rPr>
              <w:t>1.支付要求：征求医院意见后出具正式审计报告，中标人开具正式发票，采购人收到中标人提交的正式发票后30日内支付。</w:t>
            </w:r>
          </w:p>
          <w:p w14:paraId="6939CD40">
            <w:pPr>
              <w:pStyle w:val="12"/>
              <w:keepNext w:val="0"/>
              <w:keepLines w:val="0"/>
              <w:pageBreakBefore w:val="0"/>
              <w:widowControl/>
              <w:kinsoku w:val="0"/>
              <w:wordWrap/>
              <w:overflowPunct/>
              <w:topLinePunct w:val="0"/>
              <w:autoSpaceDE w:val="0"/>
              <w:autoSpaceDN w:val="0"/>
              <w:bidi w:val="0"/>
              <w:adjustRightInd w:val="0"/>
              <w:snapToGrid w:val="0"/>
              <w:spacing w:line="352" w:lineRule="auto"/>
              <w:ind w:left="117" w:right="171" w:firstLine="8"/>
              <w:jc w:val="both"/>
              <w:textAlignment w:val="baseline"/>
              <w:rPr>
                <w:rFonts w:hint="eastAsia"/>
                <w:color w:val="auto"/>
                <w:spacing w:val="-3"/>
              </w:rPr>
            </w:pPr>
            <w:r>
              <w:rPr>
                <w:rFonts w:hint="eastAsia"/>
                <w:color w:val="auto"/>
                <w:spacing w:val="-3"/>
                <w:lang w:val="en-US" w:eastAsia="zh-CN"/>
              </w:rPr>
              <w:t>2.</w:t>
            </w:r>
            <w:r>
              <w:rPr>
                <w:rFonts w:hint="eastAsia"/>
                <w:color w:val="auto"/>
                <w:spacing w:val="-3"/>
              </w:rPr>
              <w:t>验收标准：以征求医院意见后出具正式审计报告为准。</w:t>
            </w:r>
          </w:p>
          <w:p w14:paraId="60144E11">
            <w:pPr>
              <w:pStyle w:val="12"/>
              <w:keepNext w:val="0"/>
              <w:keepLines w:val="0"/>
              <w:pageBreakBefore w:val="0"/>
              <w:widowControl/>
              <w:kinsoku w:val="0"/>
              <w:wordWrap/>
              <w:overflowPunct/>
              <w:topLinePunct w:val="0"/>
              <w:autoSpaceDE w:val="0"/>
              <w:autoSpaceDN w:val="0"/>
              <w:bidi w:val="0"/>
              <w:adjustRightInd w:val="0"/>
              <w:snapToGrid w:val="0"/>
              <w:spacing w:line="352" w:lineRule="auto"/>
              <w:ind w:left="117" w:right="171" w:firstLine="8"/>
              <w:jc w:val="both"/>
              <w:textAlignment w:val="baseline"/>
              <w:rPr>
                <w:rFonts w:hint="eastAsia"/>
                <w:color w:val="auto"/>
                <w:spacing w:val="-3"/>
              </w:rPr>
            </w:pPr>
            <w:r>
              <w:rPr>
                <w:rFonts w:hint="eastAsia"/>
                <w:color w:val="auto"/>
                <w:spacing w:val="-3"/>
                <w:lang w:val="en-US" w:eastAsia="zh-CN"/>
              </w:rPr>
              <w:t>3.</w:t>
            </w:r>
            <w:r>
              <w:rPr>
                <w:rFonts w:hint="eastAsia"/>
                <w:color w:val="auto"/>
                <w:spacing w:val="-3"/>
              </w:rPr>
              <w:t>审计工作时限：30个工作日（含出具审计报告在内），审计入场时间2024年9月。</w:t>
            </w:r>
          </w:p>
          <w:p w14:paraId="3A3AAAD6">
            <w:pPr>
              <w:pStyle w:val="12"/>
              <w:keepNext w:val="0"/>
              <w:keepLines w:val="0"/>
              <w:pageBreakBefore w:val="0"/>
              <w:widowControl/>
              <w:kinsoku w:val="0"/>
              <w:wordWrap/>
              <w:overflowPunct/>
              <w:topLinePunct w:val="0"/>
              <w:autoSpaceDE w:val="0"/>
              <w:autoSpaceDN w:val="0"/>
              <w:bidi w:val="0"/>
              <w:adjustRightInd w:val="0"/>
              <w:snapToGrid w:val="0"/>
              <w:spacing w:line="352" w:lineRule="auto"/>
              <w:ind w:left="117" w:right="171" w:firstLine="8"/>
              <w:jc w:val="both"/>
              <w:textAlignment w:val="baseline"/>
              <w:rPr>
                <w:color w:val="auto"/>
              </w:rPr>
            </w:pPr>
            <w:r>
              <w:rPr>
                <w:rFonts w:hint="eastAsia"/>
                <w:color w:val="auto"/>
                <w:spacing w:val="-3"/>
                <w:lang w:val="en-US" w:eastAsia="zh-CN"/>
              </w:rPr>
              <w:t>4</w:t>
            </w:r>
            <w:r>
              <w:rPr>
                <w:color w:val="auto"/>
                <w:spacing w:val="-3"/>
              </w:rPr>
              <w:t>.履约保证金：无。</w:t>
            </w:r>
          </w:p>
        </w:tc>
      </w:tr>
      <w:tr w14:paraId="70AD2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0" w:hRule="atLeast"/>
        </w:trPr>
        <w:tc>
          <w:tcPr>
            <w:tcW w:w="824" w:type="dxa"/>
            <w:tcBorders>
              <w:top w:val="single" w:color="000000" w:sz="2" w:space="0"/>
              <w:bottom w:val="single" w:color="000000" w:sz="2" w:space="0"/>
            </w:tcBorders>
            <w:vAlign w:val="top"/>
          </w:tcPr>
          <w:p w14:paraId="2049B8F1">
            <w:pPr>
              <w:spacing w:line="268" w:lineRule="auto"/>
              <w:rPr>
                <w:rFonts w:ascii="Arial"/>
                <w:color w:val="auto"/>
                <w:sz w:val="21"/>
              </w:rPr>
            </w:pPr>
          </w:p>
          <w:p w14:paraId="6E807457">
            <w:pPr>
              <w:spacing w:line="268" w:lineRule="auto"/>
              <w:rPr>
                <w:rFonts w:ascii="Arial"/>
                <w:color w:val="auto"/>
                <w:sz w:val="21"/>
              </w:rPr>
            </w:pPr>
          </w:p>
          <w:p w14:paraId="08EB376A">
            <w:pPr>
              <w:spacing w:line="268" w:lineRule="auto"/>
              <w:rPr>
                <w:rFonts w:ascii="Arial"/>
                <w:color w:val="auto"/>
                <w:sz w:val="21"/>
              </w:rPr>
            </w:pPr>
          </w:p>
          <w:p w14:paraId="117BEA79">
            <w:pPr>
              <w:spacing w:line="268" w:lineRule="auto"/>
              <w:rPr>
                <w:rFonts w:ascii="Arial"/>
                <w:color w:val="auto"/>
                <w:sz w:val="21"/>
              </w:rPr>
            </w:pPr>
          </w:p>
          <w:p w14:paraId="0010611D">
            <w:pPr>
              <w:spacing w:before="80" w:line="189" w:lineRule="auto"/>
              <w:ind w:left="300" w:leftChars="0"/>
              <w:rPr>
                <w:rFonts w:ascii="Times New Roman" w:hAnsi="Times New Roman" w:eastAsia="Times New Roman" w:cs="Times New Roman"/>
                <w:snapToGrid w:val="0"/>
                <w:color w:val="auto"/>
                <w:kern w:val="0"/>
                <w:sz w:val="28"/>
                <w:szCs w:val="28"/>
                <w:lang w:val="en-US" w:eastAsia="en-US" w:bidi="ar-SA"/>
              </w:rPr>
            </w:pPr>
            <w:r>
              <w:rPr>
                <w:rFonts w:ascii="Times New Roman" w:hAnsi="Times New Roman" w:eastAsia="Times New Roman" w:cs="Times New Roman"/>
                <w:color w:val="auto"/>
                <w:spacing w:val="-16"/>
                <w:sz w:val="28"/>
                <w:szCs w:val="28"/>
              </w:rPr>
              <w:t>13</w:t>
            </w:r>
          </w:p>
        </w:tc>
        <w:tc>
          <w:tcPr>
            <w:tcW w:w="2289" w:type="dxa"/>
            <w:tcBorders>
              <w:top w:val="single" w:color="000000" w:sz="2" w:space="0"/>
              <w:bottom w:val="single" w:color="000000" w:sz="2" w:space="0"/>
            </w:tcBorders>
            <w:vAlign w:val="top"/>
          </w:tcPr>
          <w:p w14:paraId="1A4E8F7D">
            <w:pPr>
              <w:spacing w:line="353" w:lineRule="auto"/>
              <w:rPr>
                <w:rFonts w:ascii="Arial"/>
                <w:color w:val="auto"/>
                <w:sz w:val="21"/>
              </w:rPr>
            </w:pPr>
          </w:p>
          <w:p w14:paraId="7368FA90">
            <w:pPr>
              <w:spacing w:line="353" w:lineRule="auto"/>
              <w:rPr>
                <w:rFonts w:ascii="Arial"/>
                <w:color w:val="auto"/>
                <w:sz w:val="21"/>
              </w:rPr>
            </w:pPr>
          </w:p>
          <w:p w14:paraId="2D7A59C7">
            <w:pPr>
              <w:pStyle w:val="12"/>
              <w:spacing w:before="91" w:line="223" w:lineRule="auto"/>
              <w:rPr>
                <w:color w:val="auto"/>
              </w:rPr>
            </w:pPr>
            <w:r>
              <w:rPr>
                <w:color w:val="auto"/>
                <w:spacing w:val="-4"/>
              </w:rPr>
              <w:t>递交响应文件</w:t>
            </w:r>
          </w:p>
          <w:p w14:paraId="613CA731">
            <w:pPr>
              <w:pStyle w:val="12"/>
              <w:spacing w:before="285" w:line="223" w:lineRule="auto"/>
              <w:rPr>
                <w:rFonts w:ascii="仿宋" w:hAnsi="仿宋" w:eastAsia="仿宋" w:cs="仿宋"/>
                <w:snapToGrid w:val="0"/>
                <w:color w:val="auto"/>
                <w:kern w:val="0"/>
                <w:sz w:val="28"/>
                <w:szCs w:val="28"/>
                <w:lang w:val="en-US" w:eastAsia="en-US" w:bidi="ar-SA"/>
              </w:rPr>
            </w:pPr>
            <w:r>
              <w:rPr>
                <w:color w:val="auto"/>
                <w:spacing w:val="-3"/>
              </w:rPr>
              <w:t>截止时间及地点</w:t>
            </w:r>
          </w:p>
        </w:tc>
        <w:tc>
          <w:tcPr>
            <w:tcW w:w="6300" w:type="dxa"/>
            <w:tcBorders>
              <w:top w:val="single" w:color="000000" w:sz="2" w:space="0"/>
              <w:bottom w:val="single" w:color="000000" w:sz="2" w:space="0"/>
            </w:tcBorders>
            <w:vAlign w:val="top"/>
          </w:tcPr>
          <w:p w14:paraId="355909D9">
            <w:pPr>
              <w:pStyle w:val="12"/>
              <w:spacing w:before="178" w:line="397" w:lineRule="auto"/>
              <w:ind w:right="104"/>
              <w:rPr>
                <w:color w:val="auto"/>
                <w:spacing w:val="-6"/>
              </w:rPr>
            </w:pPr>
            <w:r>
              <w:rPr>
                <w:color w:val="auto"/>
                <w:spacing w:val="-10"/>
              </w:rPr>
              <w:t>递交响应文件截止时间为：2024</w:t>
            </w:r>
            <w:r>
              <w:rPr>
                <w:color w:val="auto"/>
                <w:spacing w:val="-32"/>
              </w:rPr>
              <w:t xml:space="preserve"> </w:t>
            </w:r>
            <w:r>
              <w:rPr>
                <w:color w:val="auto"/>
                <w:spacing w:val="-10"/>
              </w:rPr>
              <w:t>年</w:t>
            </w:r>
            <w:r>
              <w:rPr>
                <w:color w:val="auto"/>
                <w:spacing w:val="-60"/>
              </w:rPr>
              <w:t xml:space="preserve"> </w:t>
            </w:r>
            <w:r>
              <w:rPr>
                <w:rFonts w:hint="eastAsia"/>
                <w:color w:val="auto"/>
                <w:spacing w:val="-10"/>
                <w:lang w:val="en-US" w:eastAsia="zh-CN"/>
              </w:rPr>
              <w:t>9</w:t>
            </w:r>
            <w:r>
              <w:rPr>
                <w:color w:val="auto"/>
                <w:spacing w:val="-10"/>
              </w:rPr>
              <w:t>月</w:t>
            </w:r>
            <w:r>
              <w:rPr>
                <w:rFonts w:hint="eastAsia"/>
                <w:color w:val="auto"/>
                <w:spacing w:val="-6"/>
                <w:lang w:val="en-US" w:eastAsia="zh-CN"/>
              </w:rPr>
              <w:t>6</w:t>
            </w:r>
            <w:r>
              <w:rPr>
                <w:color w:val="auto"/>
                <w:spacing w:val="-6"/>
              </w:rPr>
              <w:t>日</w:t>
            </w:r>
            <w:r>
              <w:rPr>
                <w:rFonts w:hint="eastAsia"/>
                <w:color w:val="auto"/>
                <w:spacing w:val="-6"/>
                <w:lang w:val="en-US" w:eastAsia="zh-CN"/>
              </w:rPr>
              <w:t>9</w:t>
            </w:r>
            <w:r>
              <w:rPr>
                <w:color w:val="auto"/>
                <w:spacing w:val="-6"/>
              </w:rPr>
              <w:t>时</w:t>
            </w:r>
            <w:r>
              <w:rPr>
                <w:rFonts w:hint="eastAsia"/>
                <w:color w:val="auto"/>
                <w:spacing w:val="-6"/>
                <w:lang w:val="en-US" w:eastAsia="zh-CN"/>
              </w:rPr>
              <w:t>30</w:t>
            </w:r>
            <w:r>
              <w:rPr>
                <w:color w:val="auto"/>
                <w:spacing w:val="-6"/>
              </w:rPr>
              <w:t>分</w:t>
            </w:r>
          </w:p>
          <w:p w14:paraId="2C41FDA2">
            <w:pPr>
              <w:pStyle w:val="12"/>
              <w:spacing w:before="43" w:line="353" w:lineRule="auto"/>
              <w:ind w:right="104" w:rightChars="0"/>
              <w:rPr>
                <w:rFonts w:hint="eastAsia" w:ascii="仿宋" w:hAnsi="仿宋" w:eastAsia="仿宋" w:cs="仿宋"/>
                <w:snapToGrid w:val="0"/>
                <w:color w:val="auto"/>
                <w:kern w:val="0"/>
                <w:sz w:val="28"/>
                <w:szCs w:val="28"/>
                <w:lang w:val="en-US" w:eastAsia="zh-CN" w:bidi="ar-SA"/>
              </w:rPr>
            </w:pPr>
            <w:r>
              <w:rPr>
                <w:color w:val="auto"/>
                <w:spacing w:val="-6"/>
              </w:rPr>
              <w:t>地点：福州市闽侯县上街镇国宾大道</w:t>
            </w:r>
            <w:r>
              <w:rPr>
                <w:color w:val="auto"/>
                <w:spacing w:val="-48"/>
              </w:rPr>
              <w:t xml:space="preserve"> </w:t>
            </w:r>
            <w:r>
              <w:rPr>
                <w:color w:val="auto"/>
                <w:spacing w:val="-6"/>
              </w:rPr>
              <w:t>363</w:t>
            </w:r>
            <w:r>
              <w:rPr>
                <w:color w:val="auto"/>
                <w:spacing w:val="-46"/>
              </w:rPr>
              <w:t xml:space="preserve"> </w:t>
            </w:r>
            <w:r>
              <w:rPr>
                <w:color w:val="auto"/>
                <w:spacing w:val="-6"/>
              </w:rPr>
              <w:t>号福建省第三人民医院</w:t>
            </w:r>
            <w:r>
              <w:rPr>
                <w:rFonts w:hint="eastAsia"/>
                <w:color w:val="auto"/>
                <w:spacing w:val="-6"/>
                <w:lang w:val="en-US" w:eastAsia="zh-CN"/>
              </w:rPr>
              <w:t>4层</w:t>
            </w:r>
            <w:r>
              <w:rPr>
                <w:color w:val="auto"/>
                <w:spacing w:val="-6"/>
              </w:rPr>
              <w:t>会议室</w:t>
            </w:r>
          </w:p>
        </w:tc>
      </w:tr>
      <w:tr w14:paraId="2D2B8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0" w:hRule="atLeast"/>
        </w:trPr>
        <w:tc>
          <w:tcPr>
            <w:tcW w:w="824" w:type="dxa"/>
            <w:tcBorders>
              <w:top w:val="single" w:color="000000" w:sz="2" w:space="0"/>
              <w:bottom w:val="single" w:color="000000" w:sz="2" w:space="0"/>
            </w:tcBorders>
            <w:vAlign w:val="top"/>
          </w:tcPr>
          <w:p w14:paraId="5350BF6E">
            <w:pPr>
              <w:spacing w:line="252" w:lineRule="auto"/>
              <w:rPr>
                <w:rFonts w:ascii="Arial"/>
                <w:color w:val="auto"/>
                <w:sz w:val="21"/>
              </w:rPr>
            </w:pPr>
          </w:p>
          <w:p w14:paraId="56A91997">
            <w:pPr>
              <w:spacing w:line="253" w:lineRule="auto"/>
              <w:rPr>
                <w:rFonts w:ascii="Arial"/>
                <w:color w:val="auto"/>
                <w:sz w:val="21"/>
              </w:rPr>
            </w:pPr>
          </w:p>
          <w:p w14:paraId="16DE7B20">
            <w:pPr>
              <w:spacing w:line="253" w:lineRule="auto"/>
              <w:rPr>
                <w:rFonts w:ascii="Arial"/>
                <w:color w:val="auto"/>
                <w:sz w:val="21"/>
              </w:rPr>
            </w:pPr>
          </w:p>
          <w:p w14:paraId="2CFD9458">
            <w:pPr>
              <w:spacing w:before="80" w:line="189" w:lineRule="auto"/>
              <w:ind w:left="300" w:leftChars="0"/>
              <w:rPr>
                <w:rFonts w:ascii="Times New Roman" w:hAnsi="Times New Roman" w:eastAsia="Times New Roman" w:cs="Times New Roman"/>
                <w:snapToGrid w:val="0"/>
                <w:color w:val="auto"/>
                <w:kern w:val="0"/>
                <w:sz w:val="28"/>
                <w:szCs w:val="28"/>
                <w:lang w:val="en-US" w:eastAsia="en-US" w:bidi="ar-SA"/>
              </w:rPr>
            </w:pPr>
            <w:r>
              <w:rPr>
                <w:rFonts w:ascii="Times New Roman" w:hAnsi="Times New Roman" w:eastAsia="Times New Roman" w:cs="Times New Roman"/>
                <w:color w:val="auto"/>
                <w:spacing w:val="-16"/>
                <w:sz w:val="28"/>
                <w:szCs w:val="28"/>
              </w:rPr>
              <w:t>14</w:t>
            </w:r>
          </w:p>
        </w:tc>
        <w:tc>
          <w:tcPr>
            <w:tcW w:w="2289" w:type="dxa"/>
            <w:tcBorders>
              <w:top w:val="single" w:color="000000" w:sz="2" w:space="0"/>
              <w:bottom w:val="single" w:color="000000" w:sz="2" w:space="0"/>
            </w:tcBorders>
            <w:vAlign w:val="top"/>
          </w:tcPr>
          <w:p w14:paraId="05747E61">
            <w:pPr>
              <w:spacing w:line="351" w:lineRule="auto"/>
              <w:rPr>
                <w:rFonts w:ascii="Arial"/>
                <w:color w:val="auto"/>
                <w:sz w:val="21"/>
              </w:rPr>
            </w:pPr>
          </w:p>
          <w:p w14:paraId="56BB3607">
            <w:pPr>
              <w:spacing w:line="351" w:lineRule="auto"/>
              <w:rPr>
                <w:rFonts w:ascii="Arial"/>
                <w:color w:val="auto"/>
                <w:sz w:val="21"/>
              </w:rPr>
            </w:pPr>
          </w:p>
          <w:p w14:paraId="3900F00D">
            <w:pPr>
              <w:pStyle w:val="12"/>
              <w:spacing w:before="91" w:line="223" w:lineRule="auto"/>
              <w:ind w:left="114" w:leftChars="0"/>
              <w:rPr>
                <w:rFonts w:ascii="仿宋" w:hAnsi="仿宋" w:eastAsia="仿宋" w:cs="仿宋"/>
                <w:snapToGrid w:val="0"/>
                <w:color w:val="auto"/>
                <w:kern w:val="0"/>
                <w:sz w:val="28"/>
                <w:szCs w:val="28"/>
                <w:lang w:val="en-US" w:eastAsia="en-US" w:bidi="ar-SA"/>
              </w:rPr>
            </w:pPr>
            <w:r>
              <w:rPr>
                <w:color w:val="auto"/>
                <w:spacing w:val="-5"/>
              </w:rPr>
              <w:t>报名时间</w:t>
            </w:r>
          </w:p>
        </w:tc>
        <w:tc>
          <w:tcPr>
            <w:tcW w:w="6300" w:type="dxa"/>
            <w:tcBorders>
              <w:top w:val="single" w:color="000000" w:sz="2" w:space="0"/>
              <w:bottom w:val="single" w:color="000000" w:sz="2" w:space="0"/>
            </w:tcBorders>
            <w:vAlign w:val="top"/>
          </w:tcPr>
          <w:p w14:paraId="341485B6">
            <w:pPr>
              <w:pStyle w:val="12"/>
              <w:spacing w:before="175" w:line="372" w:lineRule="auto"/>
              <w:ind w:right="103" w:rightChars="0"/>
              <w:jc w:val="both"/>
              <w:rPr>
                <w:rFonts w:hint="eastAsia" w:ascii="仿宋" w:hAnsi="仿宋" w:eastAsia="仿宋" w:cs="仿宋"/>
                <w:snapToGrid w:val="0"/>
                <w:color w:val="auto"/>
                <w:kern w:val="0"/>
                <w:sz w:val="28"/>
                <w:szCs w:val="28"/>
                <w:lang w:val="en-US" w:eastAsia="zh-CN" w:bidi="ar-SA"/>
              </w:rPr>
            </w:pPr>
            <w:r>
              <w:rPr>
                <w:color w:val="auto"/>
                <w:spacing w:val="-8"/>
              </w:rPr>
              <w:t>凡有意参加投标者，请于</w:t>
            </w:r>
            <w:r>
              <w:rPr>
                <w:color w:val="auto"/>
                <w:spacing w:val="-46"/>
              </w:rPr>
              <w:t xml:space="preserve"> </w:t>
            </w:r>
            <w:r>
              <w:rPr>
                <w:color w:val="auto"/>
                <w:spacing w:val="-8"/>
              </w:rPr>
              <w:t>2</w:t>
            </w:r>
            <w:r>
              <w:rPr>
                <w:color w:val="auto"/>
                <w:spacing w:val="-10"/>
              </w:rPr>
              <w:t>024年8月</w:t>
            </w:r>
            <w:r>
              <w:rPr>
                <w:rFonts w:hint="eastAsia"/>
                <w:color w:val="auto"/>
                <w:spacing w:val="-10"/>
                <w:lang w:val="en-US" w:eastAsia="zh-CN"/>
              </w:rPr>
              <w:t>30</w:t>
            </w:r>
            <w:r>
              <w:rPr>
                <w:color w:val="auto"/>
                <w:spacing w:val="-10"/>
              </w:rPr>
              <w:t>日至 2024年</w:t>
            </w:r>
            <w:r>
              <w:rPr>
                <w:rFonts w:hint="eastAsia"/>
                <w:color w:val="auto"/>
                <w:spacing w:val="-10"/>
                <w:lang w:val="en-US" w:eastAsia="zh-CN"/>
              </w:rPr>
              <w:t>9</w:t>
            </w:r>
            <w:r>
              <w:rPr>
                <w:color w:val="auto"/>
                <w:spacing w:val="-10"/>
              </w:rPr>
              <w:t>月</w:t>
            </w:r>
            <w:r>
              <w:rPr>
                <w:rFonts w:hint="eastAsia"/>
                <w:color w:val="auto"/>
                <w:spacing w:val="-10"/>
                <w:lang w:val="en-US" w:eastAsia="zh-CN"/>
              </w:rPr>
              <w:t>5</w:t>
            </w:r>
            <w:r>
              <w:rPr>
                <w:color w:val="auto"/>
                <w:spacing w:val="-10"/>
              </w:rPr>
              <w:t>日，在福建中医药大学附属第三人民医院</w:t>
            </w:r>
            <w:r>
              <w:rPr>
                <w:color w:val="auto"/>
                <w:spacing w:val="-3"/>
              </w:rPr>
              <w:t>官网直接下载附件。</w:t>
            </w:r>
          </w:p>
        </w:tc>
      </w:tr>
      <w:tr w14:paraId="6673D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0" w:hRule="atLeast"/>
        </w:trPr>
        <w:tc>
          <w:tcPr>
            <w:tcW w:w="824" w:type="dxa"/>
            <w:tcBorders>
              <w:top w:val="single" w:color="000000" w:sz="2" w:space="0"/>
              <w:bottom w:val="single" w:color="000000" w:sz="2" w:space="0"/>
            </w:tcBorders>
            <w:vAlign w:val="top"/>
          </w:tcPr>
          <w:p w14:paraId="0BBE31CA">
            <w:pPr>
              <w:spacing w:line="267" w:lineRule="auto"/>
              <w:rPr>
                <w:rFonts w:ascii="Arial"/>
                <w:color w:val="auto"/>
                <w:sz w:val="21"/>
              </w:rPr>
            </w:pPr>
          </w:p>
          <w:p w14:paraId="7FCA572C">
            <w:pPr>
              <w:spacing w:line="267" w:lineRule="auto"/>
              <w:rPr>
                <w:rFonts w:ascii="Arial"/>
                <w:color w:val="auto"/>
                <w:sz w:val="21"/>
              </w:rPr>
            </w:pPr>
          </w:p>
          <w:p w14:paraId="056808B7">
            <w:pPr>
              <w:spacing w:line="267" w:lineRule="auto"/>
              <w:rPr>
                <w:rFonts w:ascii="Arial"/>
                <w:color w:val="auto"/>
                <w:sz w:val="21"/>
              </w:rPr>
            </w:pPr>
          </w:p>
          <w:p w14:paraId="674AF062">
            <w:pPr>
              <w:spacing w:line="268" w:lineRule="auto"/>
              <w:rPr>
                <w:rFonts w:ascii="Arial"/>
                <w:color w:val="auto"/>
                <w:sz w:val="21"/>
              </w:rPr>
            </w:pPr>
          </w:p>
          <w:p w14:paraId="361FDC14">
            <w:pPr>
              <w:spacing w:before="80" w:line="189" w:lineRule="auto"/>
              <w:ind w:left="297" w:leftChars="0"/>
              <w:rPr>
                <w:rFonts w:ascii="Times New Roman" w:hAnsi="Times New Roman" w:eastAsia="Times New Roman" w:cs="Times New Roman"/>
                <w:snapToGrid w:val="0"/>
                <w:color w:val="auto"/>
                <w:kern w:val="0"/>
                <w:sz w:val="28"/>
                <w:szCs w:val="28"/>
                <w:lang w:val="en-US" w:eastAsia="en-US" w:bidi="ar-SA"/>
              </w:rPr>
            </w:pPr>
            <w:r>
              <w:rPr>
                <w:rFonts w:ascii="Times New Roman" w:hAnsi="Times New Roman" w:eastAsia="Times New Roman" w:cs="Times New Roman"/>
                <w:color w:val="auto"/>
                <w:spacing w:val="-16"/>
                <w:sz w:val="28"/>
                <w:szCs w:val="28"/>
              </w:rPr>
              <w:t>15</w:t>
            </w:r>
          </w:p>
        </w:tc>
        <w:tc>
          <w:tcPr>
            <w:tcW w:w="2289" w:type="dxa"/>
            <w:tcBorders>
              <w:top w:val="single" w:color="000000" w:sz="2" w:space="0"/>
              <w:bottom w:val="single" w:color="000000" w:sz="2" w:space="0"/>
            </w:tcBorders>
            <w:vAlign w:val="top"/>
          </w:tcPr>
          <w:p w14:paraId="775D0C80">
            <w:pPr>
              <w:spacing w:line="253" w:lineRule="auto"/>
              <w:rPr>
                <w:rFonts w:ascii="Arial"/>
                <w:color w:val="auto"/>
                <w:sz w:val="21"/>
              </w:rPr>
            </w:pPr>
          </w:p>
          <w:p w14:paraId="22A86630">
            <w:pPr>
              <w:spacing w:line="253" w:lineRule="auto"/>
              <w:rPr>
                <w:rFonts w:ascii="Arial"/>
                <w:color w:val="auto"/>
                <w:sz w:val="21"/>
              </w:rPr>
            </w:pPr>
          </w:p>
          <w:p w14:paraId="6083E491">
            <w:pPr>
              <w:spacing w:line="253" w:lineRule="auto"/>
              <w:rPr>
                <w:rFonts w:ascii="Arial"/>
                <w:color w:val="auto"/>
                <w:sz w:val="21"/>
              </w:rPr>
            </w:pPr>
          </w:p>
          <w:p w14:paraId="6A2A8C13">
            <w:pPr>
              <w:spacing w:line="254" w:lineRule="auto"/>
              <w:rPr>
                <w:rFonts w:ascii="Arial"/>
                <w:color w:val="auto"/>
                <w:sz w:val="21"/>
              </w:rPr>
            </w:pPr>
          </w:p>
          <w:p w14:paraId="405B879A">
            <w:pPr>
              <w:pStyle w:val="12"/>
              <w:spacing w:before="91" w:line="223" w:lineRule="auto"/>
              <w:rPr>
                <w:rFonts w:ascii="仿宋" w:hAnsi="仿宋" w:eastAsia="仿宋" w:cs="仿宋"/>
                <w:snapToGrid w:val="0"/>
                <w:color w:val="auto"/>
                <w:kern w:val="0"/>
                <w:sz w:val="28"/>
                <w:szCs w:val="28"/>
                <w:lang w:val="en-US" w:eastAsia="en-US" w:bidi="ar-SA"/>
              </w:rPr>
            </w:pPr>
            <w:r>
              <w:rPr>
                <w:color w:val="auto"/>
                <w:spacing w:val="-9"/>
              </w:rPr>
              <w:t>开标</w:t>
            </w:r>
          </w:p>
        </w:tc>
        <w:tc>
          <w:tcPr>
            <w:tcW w:w="6300" w:type="dxa"/>
            <w:tcBorders>
              <w:top w:val="single" w:color="000000" w:sz="2" w:space="0"/>
              <w:bottom w:val="single" w:color="000000" w:sz="2" w:space="0"/>
            </w:tcBorders>
            <w:vAlign w:val="top"/>
          </w:tcPr>
          <w:p w14:paraId="5B5E979E">
            <w:pPr>
              <w:pStyle w:val="12"/>
              <w:spacing w:before="174" w:line="382" w:lineRule="auto"/>
              <w:ind w:right="99" w:rightChars="0"/>
              <w:jc w:val="both"/>
              <w:rPr>
                <w:rFonts w:hint="eastAsia" w:ascii="仿宋" w:hAnsi="仿宋" w:eastAsia="仿宋" w:cs="仿宋"/>
                <w:snapToGrid w:val="0"/>
                <w:color w:val="auto"/>
                <w:kern w:val="0"/>
                <w:sz w:val="28"/>
                <w:szCs w:val="28"/>
                <w:lang w:val="en-US" w:eastAsia="zh-CN" w:bidi="ar-SA"/>
              </w:rPr>
            </w:pPr>
            <w:r>
              <w:rPr>
                <w:color w:val="auto"/>
                <w:spacing w:val="9"/>
              </w:rPr>
              <w:t>本项目</w:t>
            </w:r>
            <w:r>
              <w:rPr>
                <w:rFonts w:hint="eastAsia"/>
                <w:color w:val="auto"/>
                <w:spacing w:val="9"/>
                <w:lang w:eastAsia="zh-CN"/>
              </w:rPr>
              <w:t>招标</w:t>
            </w:r>
            <w:r>
              <w:rPr>
                <w:color w:val="auto"/>
                <w:spacing w:val="9"/>
              </w:rPr>
              <w:t>将于提交响应文件截止期的同一时间</w:t>
            </w:r>
            <w:r>
              <w:rPr>
                <w:color w:val="auto"/>
                <w:spacing w:val="-4"/>
              </w:rPr>
              <w:t>进行，投标人或其委托的代理人应当携带身</w:t>
            </w:r>
            <w:r>
              <w:rPr>
                <w:color w:val="auto"/>
                <w:spacing w:val="-5"/>
              </w:rPr>
              <w:t>份证原</w:t>
            </w:r>
            <w:r>
              <w:rPr>
                <w:color w:val="auto"/>
              </w:rPr>
              <w:t xml:space="preserve"> </w:t>
            </w:r>
            <w:r>
              <w:rPr>
                <w:color w:val="auto"/>
                <w:spacing w:val="-4"/>
              </w:rPr>
              <w:t>件和授权委托书原件参加开标程序，并现场</w:t>
            </w:r>
            <w:r>
              <w:rPr>
                <w:color w:val="auto"/>
                <w:spacing w:val="-5"/>
              </w:rPr>
              <w:t>核验身</w:t>
            </w:r>
            <w:r>
              <w:rPr>
                <w:color w:val="auto"/>
              </w:rPr>
              <w:t xml:space="preserve"> </w:t>
            </w:r>
            <w:r>
              <w:rPr>
                <w:color w:val="auto"/>
                <w:spacing w:val="-3"/>
              </w:rPr>
              <w:t>份。本次</w:t>
            </w:r>
            <w:r>
              <w:rPr>
                <w:rFonts w:hint="eastAsia"/>
                <w:color w:val="auto"/>
                <w:spacing w:val="-3"/>
                <w:lang w:eastAsia="zh-CN"/>
              </w:rPr>
              <w:t>招标</w:t>
            </w:r>
            <w:r>
              <w:rPr>
                <w:color w:val="auto"/>
                <w:spacing w:val="-3"/>
              </w:rPr>
              <w:t>要求合格投标人应</w:t>
            </w:r>
            <w:r>
              <w:rPr>
                <w:rFonts w:hint="eastAsia"/>
                <w:color w:val="auto"/>
                <w:spacing w:val="-3"/>
                <w:lang w:val="en-US" w:eastAsia="zh-CN"/>
              </w:rPr>
              <w:t>不少于</w:t>
            </w:r>
            <w:r>
              <w:rPr>
                <w:color w:val="auto"/>
                <w:spacing w:val="-52"/>
              </w:rPr>
              <w:t xml:space="preserve"> </w:t>
            </w:r>
            <w:r>
              <w:rPr>
                <w:rFonts w:ascii="Times New Roman" w:hAnsi="Times New Roman" w:eastAsia="Times New Roman" w:cs="Times New Roman"/>
                <w:color w:val="auto"/>
                <w:spacing w:val="-3"/>
              </w:rPr>
              <w:t>3</w:t>
            </w:r>
            <w:r>
              <w:rPr>
                <w:color w:val="auto"/>
                <w:spacing w:val="-3"/>
              </w:rPr>
              <w:t>家。</w:t>
            </w:r>
          </w:p>
        </w:tc>
      </w:tr>
      <w:tr w14:paraId="37A4F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4" w:hRule="atLeast"/>
        </w:trPr>
        <w:tc>
          <w:tcPr>
            <w:tcW w:w="824" w:type="dxa"/>
            <w:tcBorders>
              <w:top w:val="single" w:color="000000" w:sz="2" w:space="0"/>
              <w:bottom w:val="single" w:color="000000" w:sz="2" w:space="0"/>
            </w:tcBorders>
            <w:vAlign w:val="top"/>
          </w:tcPr>
          <w:p w14:paraId="745954CA">
            <w:pPr>
              <w:spacing w:line="249" w:lineRule="auto"/>
              <w:rPr>
                <w:rFonts w:ascii="Arial"/>
                <w:color w:val="auto"/>
                <w:sz w:val="21"/>
              </w:rPr>
            </w:pPr>
          </w:p>
          <w:p w14:paraId="4658C560">
            <w:pPr>
              <w:spacing w:before="81" w:line="189" w:lineRule="auto"/>
              <w:ind w:firstLine="248" w:firstLineChars="100"/>
              <w:rPr>
                <w:rFonts w:ascii="Times New Roman" w:hAnsi="Times New Roman" w:eastAsia="Times New Roman" w:cs="Times New Roman"/>
                <w:snapToGrid w:val="0"/>
                <w:color w:val="auto"/>
                <w:kern w:val="0"/>
                <w:sz w:val="28"/>
                <w:szCs w:val="28"/>
                <w:lang w:val="en-US" w:eastAsia="en-US" w:bidi="ar-SA"/>
              </w:rPr>
            </w:pPr>
            <w:r>
              <w:rPr>
                <w:rFonts w:ascii="Times New Roman" w:hAnsi="Times New Roman" w:eastAsia="Times New Roman" w:cs="Times New Roman"/>
                <w:color w:val="auto"/>
                <w:spacing w:val="-16"/>
                <w:sz w:val="28"/>
                <w:szCs w:val="28"/>
              </w:rPr>
              <w:t>16</w:t>
            </w:r>
          </w:p>
        </w:tc>
        <w:tc>
          <w:tcPr>
            <w:tcW w:w="2289" w:type="dxa"/>
            <w:tcBorders>
              <w:top w:val="single" w:color="000000" w:sz="2" w:space="0"/>
              <w:bottom w:val="single" w:color="000000" w:sz="2" w:space="0"/>
            </w:tcBorders>
            <w:vAlign w:val="top"/>
          </w:tcPr>
          <w:p w14:paraId="0C9830CF">
            <w:pPr>
              <w:spacing w:line="242" w:lineRule="auto"/>
              <w:rPr>
                <w:rFonts w:ascii="Arial"/>
                <w:color w:val="auto"/>
                <w:sz w:val="21"/>
              </w:rPr>
            </w:pPr>
          </w:p>
          <w:p w14:paraId="58B0FD38">
            <w:pPr>
              <w:pStyle w:val="12"/>
              <w:spacing w:before="91" w:line="223" w:lineRule="auto"/>
              <w:rPr>
                <w:rFonts w:ascii="仿宋" w:hAnsi="仿宋" w:eastAsia="仿宋" w:cs="仿宋"/>
                <w:snapToGrid w:val="0"/>
                <w:color w:val="auto"/>
                <w:kern w:val="0"/>
                <w:sz w:val="28"/>
                <w:szCs w:val="28"/>
                <w:lang w:val="en-US" w:eastAsia="en-US" w:bidi="ar-SA"/>
              </w:rPr>
            </w:pPr>
            <w:r>
              <w:rPr>
                <w:color w:val="auto"/>
                <w:spacing w:val="-9"/>
              </w:rPr>
              <w:t>评审</w:t>
            </w:r>
          </w:p>
        </w:tc>
        <w:tc>
          <w:tcPr>
            <w:tcW w:w="6300" w:type="dxa"/>
            <w:tcBorders>
              <w:top w:val="single" w:color="000000" w:sz="2" w:space="0"/>
              <w:bottom w:val="single" w:color="000000" w:sz="2" w:space="0"/>
            </w:tcBorders>
            <w:vAlign w:val="top"/>
          </w:tcPr>
          <w:p w14:paraId="75A90F97">
            <w:pPr>
              <w:pStyle w:val="12"/>
              <w:spacing w:before="178" w:line="394" w:lineRule="auto"/>
              <w:ind w:right="99" w:rightChars="0"/>
              <w:jc w:val="both"/>
              <w:rPr>
                <w:rFonts w:hint="eastAsia" w:ascii="仿宋" w:hAnsi="仿宋" w:eastAsia="仿宋" w:cs="仿宋"/>
                <w:snapToGrid w:val="0"/>
                <w:color w:val="auto"/>
                <w:spacing w:val="-9"/>
                <w:kern w:val="0"/>
                <w:sz w:val="28"/>
                <w:szCs w:val="28"/>
                <w:lang w:val="en-US" w:eastAsia="zh-CN" w:bidi="ar-SA"/>
              </w:rPr>
            </w:pPr>
            <w:r>
              <w:rPr>
                <w:color w:val="auto"/>
                <w:spacing w:val="-4"/>
              </w:rPr>
              <w:t>评审办法：</w:t>
            </w:r>
            <w:r>
              <w:rPr>
                <w:rFonts w:hint="eastAsia"/>
                <w:color w:val="auto"/>
                <w:spacing w:val="-4"/>
                <w:lang w:val="en-US" w:eastAsia="zh-CN"/>
              </w:rPr>
              <w:t>综合评分法</w:t>
            </w:r>
            <w:r>
              <w:rPr>
                <w:color w:val="auto"/>
                <w:spacing w:val="-4"/>
              </w:rPr>
              <w:t>。</w:t>
            </w:r>
            <w:r>
              <w:rPr>
                <w:rFonts w:hint="eastAsia"/>
                <w:color w:val="auto"/>
                <w:spacing w:val="-4"/>
              </w:rPr>
              <w:t>根据医院评标委员会评审，确认一名中标候选人。</w:t>
            </w:r>
          </w:p>
        </w:tc>
      </w:tr>
      <w:tr w14:paraId="3193E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824" w:type="dxa"/>
            <w:tcBorders>
              <w:top w:val="single" w:color="000000" w:sz="2" w:space="0"/>
              <w:bottom w:val="single" w:color="000000" w:sz="2" w:space="0"/>
            </w:tcBorders>
            <w:vAlign w:val="top"/>
          </w:tcPr>
          <w:p w14:paraId="0D151C2F">
            <w:pPr>
              <w:spacing w:line="451" w:lineRule="auto"/>
              <w:rPr>
                <w:rFonts w:ascii="Arial"/>
                <w:color w:val="auto"/>
                <w:sz w:val="21"/>
              </w:rPr>
            </w:pPr>
          </w:p>
          <w:p w14:paraId="083E2523">
            <w:pPr>
              <w:spacing w:before="80" w:line="189" w:lineRule="auto"/>
              <w:ind w:left="297" w:leftChars="0"/>
              <w:rPr>
                <w:rFonts w:ascii="Times New Roman" w:hAnsi="Times New Roman" w:eastAsia="Times New Roman" w:cs="Times New Roman"/>
                <w:snapToGrid w:val="0"/>
                <w:color w:val="auto"/>
                <w:kern w:val="0"/>
                <w:sz w:val="28"/>
                <w:szCs w:val="28"/>
                <w:lang w:val="en-US" w:eastAsia="en-US" w:bidi="ar-SA"/>
              </w:rPr>
            </w:pPr>
            <w:r>
              <w:rPr>
                <w:rFonts w:ascii="Times New Roman" w:hAnsi="Times New Roman" w:eastAsia="Times New Roman" w:cs="Times New Roman"/>
                <w:color w:val="auto"/>
                <w:spacing w:val="-16"/>
                <w:sz w:val="28"/>
                <w:szCs w:val="28"/>
              </w:rPr>
              <w:t>17</w:t>
            </w:r>
          </w:p>
        </w:tc>
        <w:tc>
          <w:tcPr>
            <w:tcW w:w="2289" w:type="dxa"/>
            <w:tcBorders>
              <w:top w:val="single" w:color="000000" w:sz="2" w:space="0"/>
              <w:bottom w:val="single" w:color="000000" w:sz="2" w:space="0"/>
            </w:tcBorders>
            <w:vAlign w:val="top"/>
          </w:tcPr>
          <w:p w14:paraId="72DAC6D1">
            <w:pPr>
              <w:spacing w:line="392" w:lineRule="auto"/>
              <w:rPr>
                <w:rFonts w:ascii="Arial"/>
                <w:color w:val="auto"/>
                <w:sz w:val="21"/>
              </w:rPr>
            </w:pPr>
          </w:p>
          <w:p w14:paraId="10C3BCA8">
            <w:pPr>
              <w:pStyle w:val="12"/>
              <w:spacing w:before="91" w:line="222" w:lineRule="auto"/>
              <w:rPr>
                <w:rFonts w:ascii="仿宋" w:hAnsi="仿宋" w:eastAsia="仿宋" w:cs="仿宋"/>
                <w:snapToGrid w:val="0"/>
                <w:color w:val="auto"/>
                <w:kern w:val="0"/>
                <w:sz w:val="28"/>
                <w:szCs w:val="28"/>
                <w:lang w:val="en-US" w:eastAsia="en-US" w:bidi="ar-SA"/>
              </w:rPr>
            </w:pPr>
            <w:r>
              <w:rPr>
                <w:color w:val="auto"/>
                <w:spacing w:val="-4"/>
              </w:rPr>
              <w:t>结果公示媒介</w:t>
            </w:r>
          </w:p>
        </w:tc>
        <w:tc>
          <w:tcPr>
            <w:tcW w:w="6300" w:type="dxa"/>
            <w:tcBorders>
              <w:top w:val="single" w:color="000000" w:sz="2" w:space="0"/>
              <w:bottom w:val="single" w:color="000000" w:sz="2" w:space="0"/>
            </w:tcBorders>
            <w:vAlign w:val="top"/>
          </w:tcPr>
          <w:p w14:paraId="24F10C1B">
            <w:pPr>
              <w:pStyle w:val="12"/>
              <w:spacing w:before="174" w:line="220" w:lineRule="auto"/>
              <w:rPr>
                <w:rFonts w:hint="eastAsia" w:ascii="仿宋" w:hAnsi="仿宋" w:eastAsia="仿宋" w:cs="仿宋"/>
                <w:snapToGrid w:val="0"/>
                <w:color w:val="auto"/>
                <w:kern w:val="0"/>
                <w:sz w:val="28"/>
                <w:szCs w:val="28"/>
                <w:lang w:val="en-US" w:eastAsia="zh-CN" w:bidi="ar-SA"/>
              </w:rPr>
            </w:pPr>
            <w:r>
              <w:rPr>
                <w:color w:val="auto"/>
                <w:spacing w:val="-2"/>
              </w:rPr>
              <w:t>采购结果在医院网站予以公示</w:t>
            </w:r>
            <w:r>
              <w:rPr>
                <w:rFonts w:hint="eastAsia"/>
                <w:color w:val="auto"/>
                <w:spacing w:val="-2"/>
                <w:lang w:eastAsia="zh-CN"/>
              </w:rPr>
              <w:t>。</w:t>
            </w:r>
          </w:p>
        </w:tc>
      </w:tr>
      <w:tr w14:paraId="05E6C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1" w:hRule="atLeast"/>
        </w:trPr>
        <w:tc>
          <w:tcPr>
            <w:tcW w:w="824" w:type="dxa"/>
            <w:tcBorders>
              <w:top w:val="single" w:color="000000" w:sz="2" w:space="0"/>
              <w:bottom w:val="single" w:color="000000" w:sz="2" w:space="0"/>
            </w:tcBorders>
            <w:vAlign w:val="top"/>
          </w:tcPr>
          <w:p w14:paraId="023F39E4">
            <w:pPr>
              <w:spacing w:line="276" w:lineRule="auto"/>
              <w:rPr>
                <w:rFonts w:ascii="Arial"/>
                <w:color w:val="auto"/>
                <w:sz w:val="21"/>
              </w:rPr>
            </w:pPr>
          </w:p>
          <w:p w14:paraId="624DD030">
            <w:pPr>
              <w:spacing w:line="276" w:lineRule="auto"/>
              <w:rPr>
                <w:rFonts w:ascii="Arial"/>
                <w:color w:val="auto"/>
                <w:sz w:val="21"/>
              </w:rPr>
            </w:pPr>
          </w:p>
          <w:p w14:paraId="581FAC95">
            <w:pPr>
              <w:spacing w:line="276" w:lineRule="auto"/>
              <w:rPr>
                <w:rFonts w:ascii="Arial"/>
                <w:color w:val="auto"/>
                <w:sz w:val="21"/>
              </w:rPr>
            </w:pPr>
          </w:p>
          <w:p w14:paraId="075763B3">
            <w:pPr>
              <w:spacing w:line="277" w:lineRule="auto"/>
              <w:rPr>
                <w:rFonts w:ascii="Arial"/>
                <w:color w:val="auto"/>
                <w:sz w:val="21"/>
              </w:rPr>
            </w:pPr>
          </w:p>
          <w:p w14:paraId="4528ED44">
            <w:pPr>
              <w:spacing w:line="277" w:lineRule="auto"/>
              <w:rPr>
                <w:rFonts w:ascii="Arial"/>
                <w:color w:val="auto"/>
                <w:sz w:val="21"/>
              </w:rPr>
            </w:pPr>
          </w:p>
          <w:p w14:paraId="787D1CEF">
            <w:pPr>
              <w:spacing w:before="80" w:line="189" w:lineRule="auto"/>
              <w:ind w:left="300" w:leftChars="0"/>
              <w:rPr>
                <w:rFonts w:ascii="Times New Roman" w:hAnsi="Times New Roman" w:eastAsia="Times New Roman" w:cs="Times New Roman"/>
                <w:snapToGrid w:val="0"/>
                <w:color w:val="auto"/>
                <w:kern w:val="0"/>
                <w:sz w:val="28"/>
                <w:szCs w:val="28"/>
                <w:lang w:val="en-US" w:eastAsia="en-US" w:bidi="ar-SA"/>
              </w:rPr>
            </w:pPr>
            <w:r>
              <w:rPr>
                <w:rFonts w:ascii="Times New Roman" w:hAnsi="Times New Roman" w:eastAsia="Times New Roman" w:cs="Times New Roman"/>
                <w:color w:val="auto"/>
                <w:spacing w:val="-16"/>
                <w:sz w:val="28"/>
                <w:szCs w:val="28"/>
              </w:rPr>
              <w:t>18</w:t>
            </w:r>
          </w:p>
        </w:tc>
        <w:tc>
          <w:tcPr>
            <w:tcW w:w="2289" w:type="dxa"/>
            <w:tcBorders>
              <w:top w:val="single" w:color="000000" w:sz="2" w:space="0"/>
              <w:bottom w:val="single" w:color="000000" w:sz="2" w:space="0"/>
            </w:tcBorders>
            <w:vAlign w:val="top"/>
          </w:tcPr>
          <w:p w14:paraId="5DCA09B8">
            <w:pPr>
              <w:spacing w:line="265" w:lineRule="auto"/>
              <w:rPr>
                <w:rFonts w:ascii="Arial"/>
                <w:color w:val="auto"/>
                <w:sz w:val="21"/>
              </w:rPr>
            </w:pPr>
          </w:p>
          <w:p w14:paraId="3D069132">
            <w:pPr>
              <w:spacing w:line="265" w:lineRule="auto"/>
              <w:rPr>
                <w:rFonts w:ascii="Arial"/>
                <w:color w:val="auto"/>
                <w:sz w:val="21"/>
              </w:rPr>
            </w:pPr>
          </w:p>
          <w:p w14:paraId="180D2E03">
            <w:pPr>
              <w:spacing w:line="265" w:lineRule="auto"/>
              <w:rPr>
                <w:rFonts w:ascii="Arial"/>
                <w:color w:val="auto"/>
                <w:sz w:val="21"/>
              </w:rPr>
            </w:pPr>
          </w:p>
          <w:p w14:paraId="1E0C2074">
            <w:pPr>
              <w:spacing w:line="266" w:lineRule="auto"/>
              <w:rPr>
                <w:rFonts w:ascii="Arial"/>
                <w:color w:val="auto"/>
                <w:sz w:val="21"/>
              </w:rPr>
            </w:pPr>
          </w:p>
          <w:p w14:paraId="241BE835">
            <w:pPr>
              <w:spacing w:line="266" w:lineRule="auto"/>
              <w:rPr>
                <w:rFonts w:ascii="Arial"/>
                <w:color w:val="auto"/>
                <w:sz w:val="21"/>
              </w:rPr>
            </w:pPr>
          </w:p>
          <w:p w14:paraId="4DB740E0">
            <w:pPr>
              <w:pStyle w:val="12"/>
              <w:spacing w:before="91" w:line="224" w:lineRule="auto"/>
              <w:ind w:left="124" w:leftChars="0"/>
              <w:rPr>
                <w:rFonts w:ascii="仿宋" w:hAnsi="仿宋" w:eastAsia="仿宋" w:cs="仿宋"/>
                <w:snapToGrid w:val="0"/>
                <w:color w:val="auto"/>
                <w:kern w:val="0"/>
                <w:sz w:val="28"/>
                <w:szCs w:val="28"/>
                <w:lang w:val="en-US" w:eastAsia="en-US" w:bidi="ar-SA"/>
              </w:rPr>
            </w:pPr>
            <w:r>
              <w:rPr>
                <w:color w:val="auto"/>
                <w:spacing w:val="-7"/>
              </w:rPr>
              <w:t>合同签订</w:t>
            </w:r>
          </w:p>
        </w:tc>
        <w:tc>
          <w:tcPr>
            <w:tcW w:w="6300" w:type="dxa"/>
            <w:tcBorders>
              <w:top w:val="single" w:color="000000" w:sz="2" w:space="0"/>
              <w:bottom w:val="single" w:color="000000" w:sz="2" w:space="0"/>
            </w:tcBorders>
            <w:vAlign w:val="top"/>
          </w:tcPr>
          <w:p w14:paraId="696055A6">
            <w:pPr>
              <w:pStyle w:val="12"/>
              <w:spacing w:before="174" w:line="388" w:lineRule="auto"/>
              <w:ind w:left="118" w:leftChars="0" w:right="101" w:rightChars="0" w:firstLine="4" w:firstLineChars="0"/>
              <w:jc w:val="both"/>
              <w:rPr>
                <w:rFonts w:ascii="仿宋" w:hAnsi="仿宋" w:eastAsia="仿宋" w:cs="仿宋"/>
                <w:snapToGrid w:val="0"/>
                <w:color w:val="auto"/>
                <w:kern w:val="0"/>
                <w:sz w:val="28"/>
                <w:szCs w:val="28"/>
                <w:lang w:val="en-US" w:eastAsia="en-US" w:bidi="ar-SA"/>
              </w:rPr>
            </w:pPr>
            <w:r>
              <w:rPr>
                <w:color w:val="auto"/>
                <w:spacing w:val="-6"/>
              </w:rPr>
              <w:t>成交单位在收到中标通知书后</w:t>
            </w:r>
            <w:r>
              <w:rPr>
                <w:color w:val="auto"/>
                <w:spacing w:val="-52"/>
              </w:rPr>
              <w:t xml:space="preserve"> </w:t>
            </w:r>
            <w:r>
              <w:rPr>
                <w:rFonts w:ascii="Times New Roman" w:hAnsi="Times New Roman" w:eastAsia="Times New Roman" w:cs="Times New Roman"/>
                <w:color w:val="auto"/>
                <w:spacing w:val="-6"/>
              </w:rPr>
              <w:t>3</w:t>
            </w:r>
            <w:r>
              <w:rPr>
                <w:color w:val="auto"/>
                <w:spacing w:val="-6"/>
              </w:rPr>
              <w:t>天内，应派代表与</w:t>
            </w:r>
            <w:r>
              <w:rPr>
                <w:color w:val="auto"/>
              </w:rPr>
              <w:t xml:space="preserve"> </w:t>
            </w:r>
            <w:r>
              <w:rPr>
                <w:color w:val="auto"/>
                <w:spacing w:val="-4"/>
              </w:rPr>
              <w:t>采购人联系，商讨签订合同事宜，并在中标</w:t>
            </w:r>
            <w:r>
              <w:rPr>
                <w:color w:val="auto"/>
                <w:spacing w:val="-5"/>
              </w:rPr>
              <w:t>通知书</w:t>
            </w:r>
            <w:r>
              <w:rPr>
                <w:color w:val="auto"/>
              </w:rPr>
              <w:t xml:space="preserve"> </w:t>
            </w:r>
            <w:r>
              <w:rPr>
                <w:color w:val="auto"/>
                <w:spacing w:val="2"/>
              </w:rPr>
              <w:t>发出后</w:t>
            </w:r>
            <w:r>
              <w:rPr>
                <w:rFonts w:ascii="Times New Roman" w:hAnsi="Times New Roman" w:eastAsia="Times New Roman" w:cs="Times New Roman"/>
                <w:color w:val="auto"/>
                <w:spacing w:val="2"/>
              </w:rPr>
              <w:t>30</w:t>
            </w:r>
            <w:r>
              <w:rPr>
                <w:color w:val="auto"/>
                <w:spacing w:val="2"/>
              </w:rPr>
              <w:t>天内完成合同签订。在收到中标通知书</w:t>
            </w:r>
            <w:r>
              <w:rPr>
                <w:color w:val="auto"/>
                <w:spacing w:val="6"/>
              </w:rPr>
              <w:t xml:space="preserve"> </w:t>
            </w:r>
            <w:r>
              <w:rPr>
                <w:color w:val="auto"/>
                <w:spacing w:val="-6"/>
              </w:rPr>
              <w:t>后</w:t>
            </w:r>
            <w:r>
              <w:rPr>
                <w:color w:val="auto"/>
                <w:spacing w:val="-47"/>
              </w:rPr>
              <w:t xml:space="preserve"> </w:t>
            </w:r>
            <w:r>
              <w:rPr>
                <w:rFonts w:ascii="Times New Roman" w:hAnsi="Times New Roman" w:eastAsia="Times New Roman" w:cs="Times New Roman"/>
                <w:color w:val="auto"/>
                <w:spacing w:val="-6"/>
              </w:rPr>
              <w:t>3</w:t>
            </w:r>
            <w:r>
              <w:rPr>
                <w:color w:val="auto"/>
                <w:spacing w:val="-6"/>
              </w:rPr>
              <w:t>天内，未派代表与采购人联系的，视同放弃本</w:t>
            </w:r>
            <w:r>
              <w:rPr>
                <w:color w:val="auto"/>
                <w:spacing w:val="-3"/>
              </w:rPr>
              <w:t>次中标资格。</w:t>
            </w:r>
          </w:p>
        </w:tc>
      </w:tr>
      <w:tr w14:paraId="30A24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1" w:hRule="atLeast"/>
        </w:trPr>
        <w:tc>
          <w:tcPr>
            <w:tcW w:w="824" w:type="dxa"/>
            <w:tcBorders>
              <w:top w:val="single" w:color="000000" w:sz="2" w:space="0"/>
              <w:bottom w:val="single" w:color="000000" w:sz="2" w:space="0"/>
            </w:tcBorders>
            <w:vAlign w:val="top"/>
          </w:tcPr>
          <w:p w14:paraId="7C8E3017">
            <w:pPr>
              <w:spacing w:line="449" w:lineRule="auto"/>
              <w:rPr>
                <w:rFonts w:ascii="Arial"/>
                <w:color w:val="auto"/>
                <w:sz w:val="21"/>
              </w:rPr>
            </w:pPr>
          </w:p>
          <w:p w14:paraId="76EB1FA8">
            <w:pPr>
              <w:spacing w:before="81" w:line="189" w:lineRule="auto"/>
              <w:ind w:left="300" w:leftChars="0"/>
              <w:rPr>
                <w:rFonts w:ascii="Times New Roman" w:hAnsi="Times New Roman" w:eastAsia="Times New Roman" w:cs="Times New Roman"/>
                <w:snapToGrid w:val="0"/>
                <w:color w:val="auto"/>
                <w:kern w:val="0"/>
                <w:sz w:val="28"/>
                <w:szCs w:val="28"/>
                <w:lang w:val="en-US" w:eastAsia="en-US" w:bidi="ar-SA"/>
              </w:rPr>
            </w:pPr>
            <w:r>
              <w:rPr>
                <w:rFonts w:ascii="Times New Roman" w:hAnsi="Times New Roman" w:eastAsia="Times New Roman" w:cs="Times New Roman"/>
                <w:color w:val="auto"/>
                <w:spacing w:val="-16"/>
                <w:sz w:val="28"/>
                <w:szCs w:val="28"/>
              </w:rPr>
              <w:t>19</w:t>
            </w:r>
          </w:p>
        </w:tc>
        <w:tc>
          <w:tcPr>
            <w:tcW w:w="2289" w:type="dxa"/>
            <w:tcBorders>
              <w:top w:val="single" w:color="000000" w:sz="2" w:space="0"/>
              <w:bottom w:val="single" w:color="000000" w:sz="2" w:space="0"/>
            </w:tcBorders>
            <w:vAlign w:val="top"/>
          </w:tcPr>
          <w:p w14:paraId="0C2B7F65">
            <w:pPr>
              <w:pStyle w:val="12"/>
              <w:spacing w:before="176" w:line="352" w:lineRule="auto"/>
              <w:ind w:left="116" w:leftChars="0" w:right="501" w:rightChars="0" w:firstLine="8" w:firstLineChars="0"/>
              <w:rPr>
                <w:rFonts w:ascii="仿宋" w:hAnsi="仿宋" w:eastAsia="仿宋" w:cs="仿宋"/>
                <w:snapToGrid w:val="0"/>
                <w:color w:val="auto"/>
                <w:kern w:val="0"/>
                <w:sz w:val="28"/>
                <w:szCs w:val="28"/>
                <w:lang w:val="en-US" w:eastAsia="en-US" w:bidi="ar-SA"/>
              </w:rPr>
            </w:pPr>
            <w:r>
              <w:rPr>
                <w:color w:val="auto"/>
                <w:spacing w:val="-5"/>
              </w:rPr>
              <w:t>发布采购公告</w:t>
            </w:r>
            <w:r>
              <w:rPr>
                <w:color w:val="auto"/>
                <w:spacing w:val="2"/>
              </w:rPr>
              <w:t xml:space="preserve"> </w:t>
            </w:r>
            <w:r>
              <w:rPr>
                <w:color w:val="auto"/>
                <w:spacing w:val="-8"/>
              </w:rPr>
              <w:t>媒介</w:t>
            </w:r>
          </w:p>
        </w:tc>
        <w:tc>
          <w:tcPr>
            <w:tcW w:w="6300" w:type="dxa"/>
            <w:tcBorders>
              <w:top w:val="single" w:color="000000" w:sz="2" w:space="0"/>
              <w:bottom w:val="single" w:color="000000" w:sz="2" w:space="0"/>
            </w:tcBorders>
            <w:vAlign w:val="top"/>
          </w:tcPr>
          <w:p w14:paraId="607D6FFD">
            <w:pPr>
              <w:pStyle w:val="12"/>
              <w:keepNext w:val="0"/>
              <w:keepLines w:val="0"/>
              <w:pageBreakBefore w:val="0"/>
              <w:widowControl/>
              <w:kinsoku w:val="0"/>
              <w:wordWrap/>
              <w:overflowPunct/>
              <w:topLinePunct w:val="0"/>
              <w:autoSpaceDE w:val="0"/>
              <w:autoSpaceDN w:val="0"/>
              <w:bidi w:val="0"/>
              <w:adjustRightInd w:val="0"/>
              <w:snapToGrid w:val="0"/>
              <w:spacing w:before="176" w:line="353" w:lineRule="auto"/>
              <w:ind w:left="136" w:leftChars="0" w:right="0" w:rightChars="0" w:hanging="17" w:firstLineChars="0"/>
              <w:textAlignment w:val="baseline"/>
              <w:rPr>
                <w:rFonts w:ascii="仿宋" w:hAnsi="仿宋" w:eastAsia="仿宋" w:cs="仿宋"/>
                <w:snapToGrid w:val="0"/>
                <w:color w:val="auto"/>
                <w:kern w:val="0"/>
                <w:sz w:val="28"/>
                <w:szCs w:val="28"/>
                <w:lang w:val="en-US" w:eastAsia="en-US" w:bidi="ar-SA"/>
              </w:rPr>
            </w:pPr>
            <w:r>
              <w:rPr>
                <w:color w:val="auto"/>
                <w:spacing w:val="-1"/>
              </w:rPr>
              <w:t>本次采购公告在福建中医药大学附属第三人民医院网站予以公告（</w:t>
            </w:r>
            <w:r>
              <w:rPr>
                <w:rFonts w:ascii="Calibri" w:hAnsi="Calibri" w:eastAsia="Calibri" w:cs="Calibri"/>
                <w:color w:val="auto"/>
                <w:spacing w:val="-1"/>
              </w:rPr>
              <w:t>http://www.fjsdsrmyy.co</w:t>
            </w:r>
            <w:r>
              <w:rPr>
                <w:rFonts w:ascii="Calibri" w:hAnsi="Calibri" w:eastAsia="Calibri" w:cs="Calibri"/>
                <w:color w:val="auto"/>
                <w:spacing w:val="-2"/>
              </w:rPr>
              <w:t>m/</w:t>
            </w:r>
            <w:r>
              <w:rPr>
                <w:color w:val="auto"/>
                <w:spacing w:val="-2"/>
              </w:rPr>
              <w:t>）</w:t>
            </w:r>
          </w:p>
        </w:tc>
      </w:tr>
      <w:tr w14:paraId="1EE12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1" w:hRule="atLeast"/>
        </w:trPr>
        <w:tc>
          <w:tcPr>
            <w:tcW w:w="824" w:type="dxa"/>
            <w:tcBorders>
              <w:top w:val="single" w:color="000000" w:sz="2" w:space="0"/>
              <w:bottom w:val="single" w:color="000000" w:sz="2" w:space="0"/>
            </w:tcBorders>
            <w:vAlign w:val="top"/>
          </w:tcPr>
          <w:p w14:paraId="32D90F14">
            <w:pPr>
              <w:spacing w:before="284" w:line="189" w:lineRule="auto"/>
              <w:ind w:left="273" w:leftChars="0"/>
              <w:rPr>
                <w:rFonts w:ascii="Times New Roman" w:hAnsi="Times New Roman" w:eastAsia="Times New Roman" w:cs="Times New Roman"/>
                <w:snapToGrid w:val="0"/>
                <w:color w:val="auto"/>
                <w:kern w:val="0"/>
                <w:sz w:val="28"/>
                <w:szCs w:val="28"/>
                <w:lang w:val="en-US" w:eastAsia="en-US" w:bidi="ar-SA"/>
              </w:rPr>
            </w:pPr>
            <w:r>
              <w:rPr>
                <w:rFonts w:ascii="Times New Roman" w:hAnsi="Times New Roman" w:eastAsia="Times New Roman" w:cs="Times New Roman"/>
                <w:color w:val="auto"/>
                <w:spacing w:val="-2"/>
                <w:sz w:val="28"/>
                <w:szCs w:val="28"/>
              </w:rPr>
              <w:t>20</w:t>
            </w:r>
          </w:p>
        </w:tc>
        <w:tc>
          <w:tcPr>
            <w:tcW w:w="2289" w:type="dxa"/>
            <w:tcBorders>
              <w:top w:val="single" w:color="000000" w:sz="2" w:space="0"/>
              <w:bottom w:val="single" w:color="000000" w:sz="2" w:space="0"/>
            </w:tcBorders>
            <w:vAlign w:val="top"/>
          </w:tcPr>
          <w:p w14:paraId="17F4968D">
            <w:pPr>
              <w:pStyle w:val="12"/>
              <w:spacing w:before="236" w:line="222" w:lineRule="auto"/>
              <w:ind w:left="124" w:leftChars="0"/>
              <w:rPr>
                <w:rFonts w:ascii="仿宋" w:hAnsi="仿宋" w:eastAsia="仿宋" w:cs="仿宋"/>
                <w:snapToGrid w:val="0"/>
                <w:color w:val="auto"/>
                <w:kern w:val="0"/>
                <w:sz w:val="28"/>
                <w:szCs w:val="28"/>
                <w:lang w:val="en-US" w:eastAsia="en-US" w:bidi="ar-SA"/>
              </w:rPr>
            </w:pPr>
            <w:r>
              <w:rPr>
                <w:color w:val="auto"/>
                <w:spacing w:val="-7"/>
              </w:rPr>
              <w:t>监督部门</w:t>
            </w:r>
          </w:p>
        </w:tc>
        <w:tc>
          <w:tcPr>
            <w:tcW w:w="6300" w:type="dxa"/>
            <w:tcBorders>
              <w:top w:val="single" w:color="000000" w:sz="2" w:space="0"/>
              <w:bottom w:val="single" w:color="000000" w:sz="2" w:space="0"/>
            </w:tcBorders>
            <w:vAlign w:val="top"/>
          </w:tcPr>
          <w:p w14:paraId="45856CA3">
            <w:pPr>
              <w:pStyle w:val="12"/>
              <w:spacing w:before="236" w:line="223" w:lineRule="auto"/>
              <w:ind w:left="135" w:leftChars="0"/>
              <w:rPr>
                <w:rFonts w:ascii="Calibri" w:hAnsi="Calibri" w:eastAsia="Calibri" w:cs="Calibri"/>
                <w:snapToGrid w:val="0"/>
                <w:color w:val="auto"/>
                <w:kern w:val="0"/>
                <w:sz w:val="28"/>
                <w:szCs w:val="28"/>
                <w:lang w:val="en-US" w:eastAsia="en-US" w:bidi="ar-SA"/>
              </w:rPr>
            </w:pPr>
            <w:r>
              <w:rPr>
                <w:color w:val="auto"/>
                <w:spacing w:val="-3"/>
              </w:rPr>
              <w:t>院纪委办：</w:t>
            </w:r>
            <w:r>
              <w:rPr>
                <w:rFonts w:ascii="Calibri" w:hAnsi="Calibri" w:eastAsia="Calibri" w:cs="Calibri"/>
                <w:color w:val="auto"/>
                <w:spacing w:val="-3"/>
              </w:rPr>
              <w:t>0591-62099393</w:t>
            </w:r>
          </w:p>
        </w:tc>
      </w:tr>
    </w:tbl>
    <w:p w14:paraId="419D8B72">
      <w:pPr>
        <w:rPr>
          <w:color w:val="auto"/>
        </w:rPr>
      </w:pPr>
    </w:p>
    <w:p w14:paraId="000E9C82">
      <w:pPr>
        <w:pStyle w:val="2"/>
        <w:rPr>
          <w:color w:val="auto"/>
        </w:rPr>
      </w:pPr>
    </w:p>
    <w:p w14:paraId="1AF4948E">
      <w:pPr>
        <w:rPr>
          <w:color w:val="auto"/>
        </w:rPr>
      </w:pPr>
    </w:p>
    <w:p w14:paraId="1E0E2D50">
      <w:pPr>
        <w:pStyle w:val="2"/>
        <w:rPr>
          <w:color w:val="auto"/>
        </w:rPr>
      </w:pPr>
    </w:p>
    <w:p w14:paraId="0746DE6E">
      <w:pPr>
        <w:rPr>
          <w:color w:val="auto"/>
        </w:rPr>
      </w:pPr>
    </w:p>
    <w:p w14:paraId="20FFCEBB">
      <w:pPr>
        <w:pStyle w:val="2"/>
        <w:rPr>
          <w:color w:val="auto"/>
        </w:rPr>
      </w:pPr>
    </w:p>
    <w:p w14:paraId="4E25F784">
      <w:pPr>
        <w:rPr>
          <w:color w:val="auto"/>
        </w:rPr>
      </w:pPr>
    </w:p>
    <w:p w14:paraId="62479F19">
      <w:pPr>
        <w:pStyle w:val="2"/>
        <w:rPr>
          <w:color w:val="auto"/>
        </w:rPr>
      </w:pPr>
    </w:p>
    <w:p w14:paraId="0065D19D">
      <w:pPr>
        <w:rPr>
          <w:color w:val="auto"/>
        </w:rPr>
      </w:pPr>
    </w:p>
    <w:p w14:paraId="61326F48">
      <w:pPr>
        <w:pStyle w:val="2"/>
        <w:rPr>
          <w:color w:val="auto"/>
        </w:rPr>
      </w:pPr>
    </w:p>
    <w:p w14:paraId="534994B6">
      <w:pPr>
        <w:rPr>
          <w:color w:val="auto"/>
        </w:rPr>
      </w:pPr>
    </w:p>
    <w:p w14:paraId="101095C6">
      <w:pPr>
        <w:pStyle w:val="2"/>
        <w:rPr>
          <w:color w:val="auto"/>
        </w:rPr>
      </w:pPr>
    </w:p>
    <w:p w14:paraId="3CD1DEED">
      <w:pPr>
        <w:rPr>
          <w:color w:val="auto"/>
        </w:rPr>
      </w:pPr>
    </w:p>
    <w:p w14:paraId="186F49F5">
      <w:pPr>
        <w:pStyle w:val="2"/>
        <w:rPr>
          <w:color w:val="auto"/>
        </w:rPr>
      </w:pPr>
    </w:p>
    <w:p w14:paraId="55686718">
      <w:pPr>
        <w:rPr>
          <w:color w:val="auto"/>
        </w:rPr>
      </w:pPr>
    </w:p>
    <w:p w14:paraId="6546A0D3">
      <w:pPr>
        <w:pStyle w:val="2"/>
        <w:rPr>
          <w:color w:val="auto"/>
        </w:rPr>
      </w:pPr>
    </w:p>
    <w:p w14:paraId="64731E22">
      <w:pPr>
        <w:rPr>
          <w:color w:val="auto"/>
        </w:rPr>
      </w:pPr>
    </w:p>
    <w:p w14:paraId="68C936C7">
      <w:pPr>
        <w:pStyle w:val="2"/>
        <w:rPr>
          <w:color w:val="auto"/>
        </w:rPr>
      </w:pPr>
    </w:p>
    <w:p w14:paraId="4865D43B">
      <w:pPr>
        <w:rPr>
          <w:color w:val="auto"/>
        </w:rPr>
      </w:pPr>
    </w:p>
    <w:p w14:paraId="16FAFB49">
      <w:pPr>
        <w:pStyle w:val="2"/>
        <w:rPr>
          <w:color w:val="auto"/>
        </w:rPr>
      </w:pPr>
    </w:p>
    <w:p w14:paraId="21AC20D2">
      <w:pPr>
        <w:rPr>
          <w:color w:val="auto"/>
        </w:rPr>
      </w:pPr>
    </w:p>
    <w:p w14:paraId="63B4463E">
      <w:pPr>
        <w:pStyle w:val="2"/>
        <w:rPr>
          <w:color w:val="auto"/>
        </w:rPr>
      </w:pPr>
    </w:p>
    <w:p w14:paraId="5A9A1ECC">
      <w:pPr>
        <w:rPr>
          <w:color w:val="auto"/>
        </w:rPr>
      </w:pPr>
    </w:p>
    <w:p w14:paraId="46E198E3">
      <w:pPr>
        <w:pStyle w:val="2"/>
        <w:rPr>
          <w:color w:val="auto"/>
        </w:rPr>
      </w:pPr>
    </w:p>
    <w:p w14:paraId="0A379081">
      <w:pPr>
        <w:rPr>
          <w:color w:val="auto"/>
        </w:rPr>
      </w:pPr>
    </w:p>
    <w:p w14:paraId="43E9D14C">
      <w:pPr>
        <w:pStyle w:val="2"/>
        <w:rPr>
          <w:color w:val="auto"/>
        </w:rPr>
      </w:pPr>
    </w:p>
    <w:p w14:paraId="3A94C194">
      <w:pPr>
        <w:rPr>
          <w:color w:val="auto"/>
        </w:rPr>
      </w:pPr>
    </w:p>
    <w:p w14:paraId="0ED6E226">
      <w:pPr>
        <w:pStyle w:val="2"/>
        <w:rPr>
          <w:color w:val="auto"/>
        </w:rPr>
      </w:pPr>
    </w:p>
    <w:p w14:paraId="7FBADC63">
      <w:pPr>
        <w:rPr>
          <w:color w:val="auto"/>
        </w:rPr>
      </w:pPr>
    </w:p>
    <w:p w14:paraId="592B72EA">
      <w:pPr>
        <w:pStyle w:val="2"/>
        <w:rPr>
          <w:color w:val="auto"/>
        </w:rPr>
      </w:pPr>
    </w:p>
    <w:p w14:paraId="38C3C850">
      <w:pPr>
        <w:rPr>
          <w:color w:val="auto"/>
        </w:rPr>
      </w:pPr>
    </w:p>
    <w:p w14:paraId="0696D28D">
      <w:pPr>
        <w:pStyle w:val="2"/>
        <w:rPr>
          <w:color w:val="auto"/>
        </w:rPr>
      </w:pPr>
    </w:p>
    <w:p w14:paraId="11C36946">
      <w:pPr>
        <w:rPr>
          <w:color w:val="auto"/>
        </w:rPr>
      </w:pPr>
    </w:p>
    <w:p w14:paraId="1053D9CA">
      <w:pPr>
        <w:pStyle w:val="2"/>
        <w:rPr>
          <w:color w:val="auto"/>
        </w:rPr>
      </w:pPr>
    </w:p>
    <w:p w14:paraId="47DEFEB9">
      <w:pPr>
        <w:rPr>
          <w:color w:val="auto"/>
        </w:rPr>
      </w:pPr>
    </w:p>
    <w:p w14:paraId="1215D113">
      <w:pPr>
        <w:spacing w:before="113" w:line="228" w:lineRule="auto"/>
        <w:ind w:left="2228"/>
        <w:outlineLvl w:val="0"/>
        <w:rPr>
          <w:rFonts w:ascii="仿宋" w:hAnsi="仿宋" w:eastAsia="仿宋" w:cs="仿宋"/>
          <w:color w:val="auto"/>
          <w:sz w:val="35"/>
          <w:szCs w:val="35"/>
        </w:rPr>
      </w:pPr>
      <w:r>
        <w:rPr>
          <w:rFonts w:ascii="仿宋" w:hAnsi="仿宋" w:eastAsia="仿宋" w:cs="仿宋"/>
          <w:b/>
          <w:bCs/>
          <w:color w:val="auto"/>
          <w:spacing w:val="4"/>
          <w:sz w:val="35"/>
          <w:szCs w:val="35"/>
        </w:rPr>
        <w:t>第二部分</w:t>
      </w:r>
      <w:r>
        <w:rPr>
          <w:rFonts w:ascii="仿宋" w:hAnsi="仿宋" w:eastAsia="仿宋" w:cs="仿宋"/>
          <w:color w:val="auto"/>
          <w:spacing w:val="4"/>
          <w:sz w:val="35"/>
          <w:szCs w:val="35"/>
        </w:rPr>
        <w:t xml:space="preserve"> </w:t>
      </w:r>
      <w:r>
        <w:rPr>
          <w:rFonts w:hint="eastAsia" w:ascii="仿宋" w:hAnsi="仿宋" w:eastAsia="仿宋" w:cs="仿宋"/>
          <w:b/>
          <w:bCs/>
          <w:color w:val="auto"/>
          <w:spacing w:val="4"/>
          <w:sz w:val="35"/>
          <w:szCs w:val="35"/>
          <w:lang w:eastAsia="zh-CN"/>
        </w:rPr>
        <w:t>资格审查和评审方法</w:t>
      </w:r>
    </w:p>
    <w:p w14:paraId="6F1D59BE">
      <w:pPr>
        <w:pStyle w:val="14"/>
        <w:rPr>
          <w:rFonts w:ascii="Arial" w:hAnsi="Arial" w:eastAsia="Arial" w:cs="Arial"/>
          <w:color w:val="auto"/>
          <w:sz w:val="21"/>
          <w:szCs w:val="21"/>
        </w:rPr>
      </w:pPr>
    </w:p>
    <w:p w14:paraId="4C3C6D4E">
      <w:pPr>
        <w:pStyle w:val="14"/>
        <w:rPr>
          <w:rFonts w:ascii="Arial" w:hAnsi="Arial" w:eastAsia="Arial" w:cs="Arial"/>
          <w:color w:val="auto"/>
          <w:sz w:val="21"/>
          <w:szCs w:val="21"/>
        </w:rPr>
      </w:pPr>
    </w:p>
    <w:p w14:paraId="6D9E374A">
      <w:pPr>
        <w:pStyle w:val="8"/>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Lines="0" w:beforeAutospacing="0" w:after="0" w:afterLines="0" w:afterAutospacing="0" w:line="380" w:lineRule="exact"/>
        <w:ind w:left="0" w:right="0" w:firstLine="482" w:firstLineChars="200"/>
        <w:jc w:val="both"/>
        <w:textAlignment w:val="auto"/>
        <w:rPr>
          <w:rStyle w:val="11"/>
          <w:rFonts w:hint="eastAsia" w:ascii="仿宋" w:hAnsi="仿宋" w:eastAsia="仿宋" w:cs="仿宋"/>
          <w:b/>
          <w:color w:val="auto"/>
          <w:spacing w:val="0"/>
          <w:sz w:val="24"/>
          <w:szCs w:val="24"/>
          <w:highlight w:val="none"/>
        </w:rPr>
      </w:pPr>
      <w:r>
        <w:rPr>
          <w:rStyle w:val="11"/>
          <w:rFonts w:hint="eastAsia" w:ascii="仿宋" w:hAnsi="仿宋" w:eastAsia="仿宋" w:cs="仿宋"/>
          <w:b/>
          <w:color w:val="auto"/>
          <w:spacing w:val="0"/>
          <w:sz w:val="24"/>
          <w:szCs w:val="24"/>
          <w:highlight w:val="none"/>
        </w:rPr>
        <w:t>资格审查</w:t>
      </w:r>
    </w:p>
    <w:p w14:paraId="7A35D4F0">
      <w:pPr>
        <w:pStyle w:val="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lang w:val="en-US" w:eastAsia="zh-CN"/>
        </w:rPr>
        <w:t>1.</w:t>
      </w:r>
      <w:r>
        <w:rPr>
          <w:rFonts w:hint="eastAsia" w:ascii="仿宋" w:hAnsi="仿宋" w:eastAsia="仿宋" w:cs="仿宋"/>
          <w:color w:val="auto"/>
          <w:spacing w:val="0"/>
          <w:sz w:val="24"/>
          <w:szCs w:val="24"/>
          <w:highlight w:val="none"/>
        </w:rPr>
        <w:t>开标结束后，由</w:t>
      </w:r>
      <w:r>
        <w:rPr>
          <w:rFonts w:hint="eastAsia" w:ascii="仿宋" w:hAnsi="仿宋" w:eastAsia="仿宋" w:cs="仿宋"/>
          <w:color w:val="auto"/>
          <w:spacing w:val="0"/>
          <w:sz w:val="24"/>
          <w:szCs w:val="24"/>
          <w:highlight w:val="none"/>
          <w:lang w:eastAsia="zh-CN"/>
        </w:rPr>
        <w:t>福建中医药大学附属第三人民医院</w:t>
      </w:r>
      <w:r>
        <w:rPr>
          <w:rFonts w:hint="eastAsia" w:ascii="仿宋" w:hAnsi="仿宋" w:eastAsia="仿宋" w:cs="仿宋"/>
          <w:color w:val="auto"/>
          <w:spacing w:val="0"/>
          <w:sz w:val="24"/>
          <w:szCs w:val="24"/>
          <w:highlight w:val="none"/>
        </w:rPr>
        <w:t>负责</w:t>
      </w:r>
      <w:r>
        <w:rPr>
          <w:rFonts w:hint="eastAsia" w:ascii="仿宋" w:hAnsi="仿宋" w:eastAsia="仿宋" w:cs="仿宋"/>
          <w:color w:val="auto"/>
          <w:spacing w:val="0"/>
          <w:sz w:val="24"/>
          <w:szCs w:val="24"/>
          <w:highlight w:val="none"/>
          <w:lang w:eastAsia="zh-CN"/>
        </w:rPr>
        <w:t>组织评审小组负责</w:t>
      </w:r>
      <w:r>
        <w:rPr>
          <w:rFonts w:hint="eastAsia" w:ascii="仿宋" w:hAnsi="仿宋" w:eastAsia="仿宋" w:cs="仿宋"/>
          <w:color w:val="auto"/>
          <w:spacing w:val="0"/>
          <w:sz w:val="24"/>
          <w:szCs w:val="24"/>
          <w:highlight w:val="none"/>
        </w:rPr>
        <w:t>资格审查工作。</w:t>
      </w:r>
    </w:p>
    <w:p w14:paraId="647FC66E">
      <w:pPr>
        <w:pStyle w:val="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rPr>
        <w:t>1.</w:t>
      </w:r>
      <w:r>
        <w:rPr>
          <w:rFonts w:hint="eastAsia" w:ascii="仿宋" w:hAnsi="仿宋" w:eastAsia="仿宋" w:cs="仿宋"/>
          <w:color w:val="auto"/>
          <w:spacing w:val="0"/>
          <w:sz w:val="24"/>
          <w:szCs w:val="24"/>
          <w:highlight w:val="none"/>
          <w:lang w:val="en-US" w:eastAsia="zh-CN"/>
        </w:rPr>
        <w:t>1</w:t>
      </w:r>
      <w:r>
        <w:rPr>
          <w:rFonts w:hint="eastAsia" w:ascii="仿宋" w:hAnsi="仿宋" w:eastAsia="仿宋" w:cs="仿宋"/>
          <w:color w:val="auto"/>
          <w:spacing w:val="0"/>
          <w:sz w:val="24"/>
          <w:szCs w:val="24"/>
          <w:highlight w:val="none"/>
        </w:rPr>
        <w:t>资格审查的依据是招标文件和投标文件。</w:t>
      </w:r>
    </w:p>
    <w:p w14:paraId="6A77B59F">
      <w:pPr>
        <w:pStyle w:val="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left="0" w:leftChars="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rPr>
        <w:t>1.</w:t>
      </w:r>
      <w:r>
        <w:rPr>
          <w:rFonts w:hint="eastAsia" w:ascii="仿宋" w:hAnsi="仿宋" w:eastAsia="仿宋" w:cs="仿宋"/>
          <w:color w:val="auto"/>
          <w:spacing w:val="0"/>
          <w:sz w:val="24"/>
          <w:szCs w:val="24"/>
          <w:highlight w:val="none"/>
          <w:lang w:val="en-US" w:eastAsia="zh-CN"/>
        </w:rPr>
        <w:t>2</w:t>
      </w:r>
      <w:r>
        <w:rPr>
          <w:rFonts w:hint="eastAsia" w:ascii="仿宋" w:hAnsi="仿宋" w:eastAsia="仿宋" w:cs="仿宋"/>
          <w:color w:val="auto"/>
          <w:spacing w:val="0"/>
          <w:sz w:val="24"/>
          <w:szCs w:val="24"/>
          <w:highlight w:val="none"/>
        </w:rPr>
        <w:t>资格审查的范围及内容：投标文件（资格及资信证明部分），具体如下：</w:t>
      </w:r>
    </w:p>
    <w:p w14:paraId="0364C4A6">
      <w:pPr>
        <w:pStyle w:val="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left="479" w:leftChars="228" w:right="0" w:firstLine="0" w:firstLineChars="0"/>
        <w:textAlignment w:val="auto"/>
        <w:rPr>
          <w:rFonts w:hint="eastAsia" w:ascii="仿宋" w:hAnsi="仿宋" w:eastAsia="仿宋" w:cs="仿宋"/>
          <w:color w:val="auto"/>
          <w:spacing w:val="0"/>
          <w:sz w:val="24"/>
          <w:szCs w:val="24"/>
          <w:highlight w:val="none"/>
          <w:u w:val="single"/>
        </w:rPr>
      </w:pPr>
      <w:r>
        <w:rPr>
          <w:rFonts w:hint="eastAsia" w:ascii="仿宋" w:hAnsi="仿宋" w:eastAsia="仿宋" w:cs="仿宋"/>
          <w:color w:val="auto"/>
          <w:sz w:val="24"/>
          <w:szCs w:val="24"/>
          <w:highlight w:val="none"/>
          <w:u w:val="single"/>
        </w:rPr>
        <w:t>（1）</w:t>
      </w:r>
      <w:r>
        <w:rPr>
          <w:rFonts w:hint="eastAsia" w:ascii="仿宋" w:hAnsi="仿宋" w:eastAsia="仿宋" w:cs="仿宋"/>
          <w:color w:val="auto"/>
          <w:spacing w:val="0"/>
          <w:sz w:val="24"/>
          <w:szCs w:val="24"/>
          <w:highlight w:val="none"/>
          <w:u w:val="single"/>
        </w:rPr>
        <w:t>“投标函”；</w:t>
      </w:r>
      <w:r>
        <w:rPr>
          <w:rFonts w:hint="eastAsia" w:ascii="仿宋" w:hAnsi="仿宋" w:eastAsia="仿宋" w:cs="仿宋"/>
          <w:color w:val="auto"/>
          <w:spacing w:val="0"/>
          <w:sz w:val="24"/>
          <w:szCs w:val="24"/>
          <w:highlight w:val="none"/>
          <w:u w:val="single"/>
        </w:rPr>
        <w:br w:type="textWrapping"/>
      </w:r>
      <w:r>
        <w:rPr>
          <w:rFonts w:hint="eastAsia" w:ascii="仿宋" w:hAnsi="仿宋" w:eastAsia="仿宋" w:cs="仿宋"/>
          <w:color w:val="auto"/>
          <w:spacing w:val="0"/>
          <w:sz w:val="24"/>
          <w:szCs w:val="24"/>
          <w:highlight w:val="none"/>
          <w:u w:val="single"/>
        </w:rPr>
        <w:t>（2）“投标人的资格及资信证明文件”</w:t>
      </w:r>
      <w:r>
        <w:rPr>
          <w:rFonts w:hint="eastAsia" w:ascii="仿宋" w:hAnsi="仿宋" w:eastAsia="仿宋" w:cs="仿宋"/>
          <w:color w:val="auto"/>
          <w:spacing w:val="0"/>
          <w:sz w:val="24"/>
          <w:szCs w:val="24"/>
          <w:highlight w:val="none"/>
          <w:u w:val="single"/>
          <w:lang w:eastAsia="zh-CN"/>
        </w:rPr>
        <w:t>；</w:t>
      </w:r>
      <w:r>
        <w:rPr>
          <w:rFonts w:hint="eastAsia" w:ascii="仿宋" w:hAnsi="仿宋" w:eastAsia="仿宋" w:cs="仿宋"/>
          <w:color w:val="auto"/>
          <w:spacing w:val="0"/>
          <w:sz w:val="24"/>
          <w:szCs w:val="24"/>
          <w:highlight w:val="none"/>
          <w:u w:val="single"/>
        </w:rPr>
        <w:br w:type="textWrapping"/>
      </w:r>
      <w:r>
        <w:rPr>
          <w:rFonts w:hint="eastAsia" w:ascii="仿宋" w:hAnsi="仿宋" w:eastAsia="仿宋" w:cs="仿宋"/>
          <w:color w:val="auto"/>
          <w:spacing w:val="0"/>
          <w:sz w:val="24"/>
          <w:szCs w:val="24"/>
          <w:highlight w:val="none"/>
          <w:u w:val="single"/>
        </w:rPr>
        <w:t>1）有效期内营业执照复印件（三证合一）；</w:t>
      </w:r>
    </w:p>
    <w:p w14:paraId="313E398A">
      <w:pPr>
        <w:pStyle w:val="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left="0" w:leftChars="0" w:right="0" w:firstLine="480" w:firstLineChars="200"/>
        <w:textAlignment w:val="auto"/>
        <w:rPr>
          <w:rFonts w:hint="eastAsia" w:ascii="仿宋" w:hAnsi="仿宋" w:eastAsia="仿宋" w:cs="仿宋"/>
          <w:color w:val="auto"/>
          <w:spacing w:val="0"/>
          <w:sz w:val="24"/>
          <w:szCs w:val="24"/>
          <w:highlight w:val="none"/>
          <w:u w:val="single"/>
        </w:rPr>
      </w:pPr>
      <w:r>
        <w:rPr>
          <w:rFonts w:hint="eastAsia" w:ascii="仿宋" w:hAnsi="仿宋" w:eastAsia="仿宋" w:cs="仿宋"/>
          <w:color w:val="auto"/>
          <w:spacing w:val="0"/>
          <w:sz w:val="24"/>
          <w:szCs w:val="24"/>
          <w:highlight w:val="none"/>
          <w:u w:val="single"/>
        </w:rPr>
        <w:t>2）委托代理人及法定代表人的有效身份证明复印件；</w:t>
      </w:r>
    </w:p>
    <w:p w14:paraId="196E1F4D">
      <w:pPr>
        <w:pStyle w:val="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left="0" w:leftChars="0" w:right="0" w:firstLine="480" w:firstLineChars="200"/>
        <w:textAlignment w:val="auto"/>
        <w:rPr>
          <w:rFonts w:hint="eastAsia" w:ascii="仿宋" w:hAnsi="仿宋" w:eastAsia="仿宋" w:cs="仿宋"/>
          <w:color w:val="auto"/>
          <w:spacing w:val="0"/>
          <w:sz w:val="24"/>
          <w:szCs w:val="24"/>
          <w:highlight w:val="none"/>
          <w:u w:val="single"/>
        </w:rPr>
      </w:pPr>
      <w:r>
        <w:rPr>
          <w:rFonts w:hint="eastAsia" w:ascii="仿宋" w:hAnsi="仿宋" w:eastAsia="仿宋" w:cs="仿宋"/>
          <w:color w:val="auto"/>
          <w:spacing w:val="0"/>
          <w:sz w:val="24"/>
          <w:szCs w:val="24"/>
          <w:highlight w:val="none"/>
          <w:u w:val="single"/>
        </w:rPr>
        <w:t>3）法定代表人授权委托书原件(委托代理人是法定代表人的无需提供)；</w:t>
      </w:r>
    </w:p>
    <w:p w14:paraId="0CF92533">
      <w:pPr>
        <w:pStyle w:val="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left="0" w:leftChars="0" w:right="0" w:firstLine="480" w:firstLineChars="200"/>
        <w:textAlignment w:val="auto"/>
        <w:rPr>
          <w:rFonts w:hint="eastAsia" w:ascii="仿宋" w:hAnsi="仿宋" w:eastAsia="仿宋" w:cs="仿宋"/>
          <w:color w:val="auto"/>
          <w:spacing w:val="0"/>
          <w:sz w:val="24"/>
          <w:szCs w:val="24"/>
          <w:highlight w:val="none"/>
          <w:u w:val="single"/>
          <w:lang w:eastAsia="zh-CN"/>
        </w:rPr>
      </w:pPr>
      <w:r>
        <w:rPr>
          <w:rFonts w:hint="eastAsia" w:ascii="仿宋" w:hAnsi="仿宋" w:eastAsia="仿宋" w:cs="仿宋"/>
          <w:color w:val="auto"/>
          <w:spacing w:val="0"/>
          <w:sz w:val="24"/>
          <w:szCs w:val="24"/>
          <w:highlight w:val="none"/>
          <w:u w:val="single"/>
        </w:rPr>
        <w:t>4）三年内无违法记录</w:t>
      </w:r>
      <w:r>
        <w:rPr>
          <w:rFonts w:hint="eastAsia" w:ascii="仿宋" w:hAnsi="仿宋" w:eastAsia="仿宋" w:cs="仿宋"/>
          <w:color w:val="auto"/>
          <w:spacing w:val="0"/>
          <w:sz w:val="24"/>
          <w:szCs w:val="24"/>
          <w:highlight w:val="none"/>
          <w:u w:val="single"/>
          <w:lang w:eastAsia="zh-CN"/>
        </w:rPr>
        <w:t>声</w:t>
      </w:r>
      <w:r>
        <w:rPr>
          <w:rFonts w:hint="eastAsia" w:ascii="仿宋" w:hAnsi="仿宋" w:eastAsia="仿宋" w:cs="仿宋"/>
          <w:color w:val="auto"/>
          <w:spacing w:val="0"/>
          <w:sz w:val="24"/>
          <w:szCs w:val="24"/>
          <w:highlight w:val="none"/>
          <w:u w:val="single"/>
        </w:rPr>
        <w:t>明</w:t>
      </w:r>
      <w:r>
        <w:rPr>
          <w:rFonts w:hint="eastAsia" w:ascii="仿宋" w:hAnsi="仿宋" w:eastAsia="仿宋" w:cs="仿宋"/>
          <w:color w:val="auto"/>
          <w:spacing w:val="0"/>
          <w:sz w:val="24"/>
          <w:szCs w:val="24"/>
          <w:highlight w:val="none"/>
          <w:u w:val="single"/>
          <w:lang w:eastAsia="zh-CN"/>
        </w:rPr>
        <w:t>。</w:t>
      </w:r>
    </w:p>
    <w:p w14:paraId="3F51CB60">
      <w:pPr>
        <w:pStyle w:val="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left="479" w:leftChars="228" w:right="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rPr>
        <w:t>1.</w:t>
      </w:r>
      <w:r>
        <w:rPr>
          <w:rFonts w:hint="eastAsia" w:ascii="仿宋" w:hAnsi="仿宋" w:eastAsia="仿宋" w:cs="仿宋"/>
          <w:color w:val="auto"/>
          <w:spacing w:val="0"/>
          <w:sz w:val="24"/>
          <w:szCs w:val="24"/>
          <w:highlight w:val="none"/>
          <w:lang w:val="en-US" w:eastAsia="zh-CN"/>
        </w:rPr>
        <w:t>3</w:t>
      </w:r>
      <w:r>
        <w:rPr>
          <w:rFonts w:hint="eastAsia" w:ascii="仿宋" w:hAnsi="仿宋" w:eastAsia="仿宋" w:cs="仿宋"/>
          <w:color w:val="auto"/>
          <w:spacing w:val="0"/>
          <w:sz w:val="24"/>
          <w:szCs w:val="24"/>
          <w:highlight w:val="none"/>
        </w:rPr>
        <w:t>有下列情形之一的，</w:t>
      </w:r>
      <w:r>
        <w:rPr>
          <w:rStyle w:val="11"/>
          <w:rFonts w:hint="eastAsia" w:ascii="仿宋" w:hAnsi="仿宋" w:eastAsia="仿宋" w:cs="仿宋"/>
          <w:b/>
          <w:color w:val="auto"/>
          <w:spacing w:val="0"/>
          <w:sz w:val="24"/>
          <w:szCs w:val="24"/>
          <w:highlight w:val="none"/>
        </w:rPr>
        <w:t>资格审查不合格：</w:t>
      </w:r>
      <w:r>
        <w:rPr>
          <w:rStyle w:val="11"/>
          <w:rFonts w:hint="eastAsia" w:ascii="仿宋" w:hAnsi="仿宋" w:eastAsia="仿宋" w:cs="仿宋"/>
          <w:b/>
          <w:color w:val="auto"/>
          <w:spacing w:val="0"/>
          <w:sz w:val="24"/>
          <w:szCs w:val="24"/>
          <w:highlight w:val="none"/>
        </w:rPr>
        <w:br w:type="textWrapping"/>
      </w:r>
      <w:r>
        <w:rPr>
          <w:rFonts w:hint="eastAsia" w:ascii="仿宋" w:hAnsi="仿宋" w:eastAsia="仿宋" w:cs="仿宋"/>
          <w:color w:val="auto"/>
          <w:sz w:val="24"/>
          <w:szCs w:val="24"/>
          <w:highlight w:val="none"/>
        </w:rPr>
        <w:t>（1）一般情形：</w:t>
      </w:r>
    </w:p>
    <w:tbl>
      <w:tblPr>
        <w:tblStyle w:val="9"/>
        <w:tblW w:w="8328" w:type="dxa"/>
        <w:jc w:val="center"/>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8328"/>
      </w:tblGrid>
      <w:tr w14:paraId="66463B2A">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328" w:type="dxa"/>
            <w:tcBorders>
              <w:top w:val="single" w:color="666666" w:sz="6" w:space="0"/>
              <w:left w:val="single" w:color="666666" w:sz="6" w:space="0"/>
              <w:bottom w:val="single" w:color="666666" w:sz="6" w:space="0"/>
              <w:right w:val="single" w:color="666666" w:sz="6" w:space="0"/>
            </w:tcBorders>
            <w:noWrap w:val="0"/>
            <w:vAlign w:val="center"/>
          </w:tcPr>
          <w:p w14:paraId="632FD24B">
            <w:pPr>
              <w:keepNext w:val="0"/>
              <w:keepLines w:val="0"/>
              <w:pageBreakBefore w:val="0"/>
              <w:widowControl w:val="0"/>
              <w:suppressLineNumbers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val="en-US" w:eastAsia="zh-CN" w:bidi="ar"/>
              </w:rPr>
              <w:t>明细</w:t>
            </w:r>
          </w:p>
        </w:tc>
      </w:tr>
      <w:tr w14:paraId="013207D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83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4E1D608C">
            <w:pPr>
              <w:keepNext w:val="0"/>
              <w:keepLines w:val="0"/>
              <w:pageBreakBefore w:val="0"/>
              <w:widowControl w:val="0"/>
              <w:suppressLineNumbers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未按照招标文件规定提交投标函</w:t>
            </w:r>
          </w:p>
        </w:tc>
      </w:tr>
      <w:tr w14:paraId="3CCFBE11">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83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2CB0C53">
            <w:pPr>
              <w:keepNext w:val="0"/>
              <w:keepLines w:val="0"/>
              <w:pageBreakBefore w:val="0"/>
              <w:widowControl w:val="0"/>
              <w:suppressLineNumbers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未按照招标文件规定提交投标人的资格及资信文件</w:t>
            </w:r>
          </w:p>
        </w:tc>
      </w:tr>
    </w:tbl>
    <w:p w14:paraId="04CB3DBD">
      <w:pPr>
        <w:pStyle w:val="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lang w:val="en-US" w:eastAsia="zh-CN"/>
        </w:rPr>
        <w:t>2.</w:t>
      </w:r>
      <w:r>
        <w:rPr>
          <w:rFonts w:hint="eastAsia" w:ascii="仿宋" w:hAnsi="仿宋" w:eastAsia="仿宋" w:cs="仿宋"/>
          <w:color w:val="auto"/>
          <w:spacing w:val="0"/>
          <w:sz w:val="24"/>
          <w:szCs w:val="24"/>
          <w:highlight w:val="none"/>
        </w:rPr>
        <w:t>资格审查合格的投标人不足三家的，不进行评标。同时，本次采购活动结束，</w:t>
      </w:r>
      <w:r>
        <w:rPr>
          <w:rFonts w:hint="eastAsia" w:ascii="仿宋" w:hAnsi="仿宋" w:eastAsia="仿宋" w:cs="仿宋"/>
          <w:color w:val="auto"/>
          <w:spacing w:val="0"/>
          <w:sz w:val="24"/>
          <w:szCs w:val="24"/>
          <w:highlight w:val="none"/>
          <w:u w:val="single"/>
          <w:lang w:eastAsia="zh-CN"/>
        </w:rPr>
        <w:t>福建中医药大学附属第三人民医院</w:t>
      </w:r>
      <w:r>
        <w:rPr>
          <w:rFonts w:hint="eastAsia" w:ascii="仿宋" w:hAnsi="仿宋" w:eastAsia="仿宋" w:cs="仿宋"/>
          <w:color w:val="auto"/>
          <w:spacing w:val="0"/>
          <w:sz w:val="24"/>
          <w:szCs w:val="24"/>
          <w:highlight w:val="none"/>
        </w:rPr>
        <w:t>将依法组织后续采购活动（包括但不限于：重新招标、采用其他方式采购等）。</w:t>
      </w:r>
    </w:p>
    <w:p w14:paraId="79A8B962">
      <w:pPr>
        <w:pStyle w:val="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left="0" w:right="0" w:firstLine="482" w:firstLineChars="200"/>
        <w:jc w:val="both"/>
        <w:textAlignment w:val="auto"/>
        <w:rPr>
          <w:rFonts w:hint="eastAsia" w:ascii="仿宋" w:hAnsi="仿宋" w:eastAsia="仿宋" w:cs="仿宋"/>
          <w:color w:val="auto"/>
          <w:sz w:val="24"/>
          <w:szCs w:val="24"/>
          <w:highlight w:val="none"/>
        </w:rPr>
      </w:pPr>
      <w:r>
        <w:rPr>
          <w:rStyle w:val="11"/>
          <w:rFonts w:hint="eastAsia" w:ascii="仿宋" w:hAnsi="仿宋" w:eastAsia="仿宋" w:cs="仿宋"/>
          <w:b/>
          <w:color w:val="auto"/>
          <w:spacing w:val="0"/>
          <w:sz w:val="24"/>
          <w:szCs w:val="24"/>
          <w:highlight w:val="none"/>
        </w:rPr>
        <w:t>二、评标</w:t>
      </w:r>
    </w:p>
    <w:p w14:paraId="0DB35AD9">
      <w:pPr>
        <w:pStyle w:val="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lang w:val="en-US" w:eastAsia="zh-CN"/>
        </w:rPr>
        <w:t>3.</w:t>
      </w:r>
      <w:r>
        <w:rPr>
          <w:rFonts w:hint="eastAsia" w:ascii="仿宋" w:hAnsi="仿宋" w:eastAsia="仿宋" w:cs="仿宋"/>
          <w:color w:val="auto"/>
          <w:sz w:val="24"/>
          <w:szCs w:val="24"/>
          <w:highlight w:val="none"/>
        </w:rPr>
        <w:t>资格审查结束后，由</w:t>
      </w:r>
      <w:r>
        <w:rPr>
          <w:rFonts w:hint="eastAsia" w:ascii="仿宋" w:hAnsi="仿宋" w:eastAsia="仿宋" w:cs="仿宋"/>
          <w:color w:val="auto"/>
          <w:spacing w:val="0"/>
          <w:sz w:val="24"/>
          <w:szCs w:val="24"/>
          <w:highlight w:val="none"/>
          <w:lang w:eastAsia="zh-CN"/>
        </w:rPr>
        <w:t>福建中医药大学附属第三人民医院</w:t>
      </w:r>
      <w:r>
        <w:rPr>
          <w:rFonts w:hint="eastAsia" w:ascii="仿宋" w:hAnsi="仿宋" w:eastAsia="仿宋" w:cs="仿宋"/>
          <w:color w:val="auto"/>
          <w:spacing w:val="0"/>
          <w:sz w:val="24"/>
          <w:szCs w:val="24"/>
          <w:highlight w:val="none"/>
        </w:rPr>
        <w:t>负责</w:t>
      </w:r>
      <w:r>
        <w:rPr>
          <w:rFonts w:hint="eastAsia" w:ascii="仿宋" w:hAnsi="仿宋" w:eastAsia="仿宋" w:cs="仿宋"/>
          <w:color w:val="auto"/>
          <w:spacing w:val="0"/>
          <w:sz w:val="24"/>
          <w:szCs w:val="24"/>
          <w:highlight w:val="none"/>
          <w:lang w:eastAsia="zh-CN"/>
        </w:rPr>
        <w:t>评标小组</w:t>
      </w:r>
      <w:r>
        <w:rPr>
          <w:rFonts w:hint="eastAsia" w:ascii="仿宋" w:hAnsi="仿宋" w:eastAsia="仿宋" w:cs="仿宋"/>
          <w:color w:val="auto"/>
          <w:spacing w:val="0"/>
          <w:sz w:val="24"/>
          <w:szCs w:val="24"/>
          <w:highlight w:val="none"/>
        </w:rPr>
        <w:t>的组建及评标工作的组织。</w:t>
      </w:r>
    </w:p>
    <w:p w14:paraId="4618C414">
      <w:pPr>
        <w:pStyle w:val="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lang w:val="en-US" w:eastAsia="zh-CN"/>
        </w:rPr>
        <w:t>4.</w:t>
      </w:r>
      <w:r>
        <w:rPr>
          <w:rFonts w:hint="eastAsia" w:ascii="仿宋" w:hAnsi="仿宋" w:eastAsia="仿宋" w:cs="仿宋"/>
          <w:color w:val="auto"/>
          <w:spacing w:val="0"/>
          <w:sz w:val="24"/>
          <w:szCs w:val="24"/>
          <w:highlight w:val="none"/>
        </w:rPr>
        <w:t>评标程序</w:t>
      </w:r>
    </w:p>
    <w:p w14:paraId="6BA2314D">
      <w:pPr>
        <w:pStyle w:val="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lang w:val="en-US" w:eastAsia="zh-CN"/>
        </w:rPr>
        <w:t>4</w:t>
      </w:r>
      <w:r>
        <w:rPr>
          <w:rFonts w:hint="eastAsia" w:ascii="仿宋" w:hAnsi="仿宋" w:eastAsia="仿宋" w:cs="仿宋"/>
          <w:color w:val="auto"/>
          <w:spacing w:val="0"/>
          <w:sz w:val="24"/>
          <w:szCs w:val="24"/>
          <w:highlight w:val="none"/>
        </w:rPr>
        <w:t>.</w:t>
      </w:r>
      <w:r>
        <w:rPr>
          <w:rFonts w:hint="eastAsia" w:ascii="仿宋" w:hAnsi="仿宋" w:eastAsia="仿宋" w:cs="仿宋"/>
          <w:color w:val="auto"/>
          <w:spacing w:val="0"/>
          <w:sz w:val="24"/>
          <w:szCs w:val="24"/>
          <w:highlight w:val="none"/>
          <w:lang w:val="en-US" w:eastAsia="zh-CN"/>
        </w:rPr>
        <w:t>1</w:t>
      </w:r>
      <w:r>
        <w:rPr>
          <w:rFonts w:hint="eastAsia" w:ascii="仿宋" w:hAnsi="仿宋" w:eastAsia="仿宋" w:cs="仿宋"/>
          <w:color w:val="auto"/>
          <w:spacing w:val="0"/>
          <w:sz w:val="24"/>
          <w:szCs w:val="24"/>
          <w:highlight w:val="none"/>
        </w:rPr>
        <w:t>符合性审查</w:t>
      </w:r>
    </w:p>
    <w:p w14:paraId="5813321B">
      <w:pPr>
        <w:pStyle w:val="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left="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rPr>
        <w:t>（1）</w:t>
      </w:r>
      <w:r>
        <w:rPr>
          <w:rFonts w:hint="eastAsia" w:ascii="仿宋" w:hAnsi="仿宋" w:eastAsia="仿宋" w:cs="仿宋"/>
          <w:color w:val="auto"/>
          <w:spacing w:val="0"/>
          <w:sz w:val="24"/>
          <w:szCs w:val="24"/>
          <w:highlight w:val="none"/>
          <w:lang w:eastAsia="zh-CN"/>
        </w:rPr>
        <w:t>评标小组</w:t>
      </w:r>
      <w:r>
        <w:rPr>
          <w:rFonts w:hint="eastAsia" w:ascii="仿宋" w:hAnsi="仿宋" w:eastAsia="仿宋" w:cs="仿宋"/>
          <w:color w:val="auto"/>
          <w:spacing w:val="0"/>
          <w:sz w:val="24"/>
          <w:szCs w:val="24"/>
          <w:highlight w:val="none"/>
        </w:rPr>
        <w:t>依据招标文件的实质性要求，对通过资格审查的投标文件进行符合性审查，以确定其是否满足招标文件的实质性要求。</w:t>
      </w:r>
    </w:p>
    <w:p w14:paraId="1D2C8BEC">
      <w:pPr>
        <w:pStyle w:val="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left="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rPr>
        <w:t>（2）满足招标文件的实质性要求指投标文件对招标文件实质性要求的响应不存在重大偏差或保留。</w:t>
      </w:r>
    </w:p>
    <w:p w14:paraId="06890890">
      <w:pPr>
        <w:pStyle w:val="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left="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7F454CB1">
      <w:pPr>
        <w:pStyle w:val="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rPr>
        <w:t>（4）</w:t>
      </w:r>
      <w:r>
        <w:rPr>
          <w:rFonts w:hint="eastAsia" w:ascii="仿宋" w:hAnsi="仿宋" w:eastAsia="仿宋" w:cs="仿宋"/>
          <w:color w:val="auto"/>
          <w:spacing w:val="0"/>
          <w:sz w:val="24"/>
          <w:szCs w:val="24"/>
          <w:highlight w:val="none"/>
          <w:lang w:eastAsia="zh-CN"/>
        </w:rPr>
        <w:t>评标小组</w:t>
      </w:r>
      <w:r>
        <w:rPr>
          <w:rFonts w:hint="eastAsia" w:ascii="仿宋" w:hAnsi="仿宋" w:eastAsia="仿宋" w:cs="仿宋"/>
          <w:color w:val="auto"/>
          <w:spacing w:val="0"/>
          <w:sz w:val="24"/>
          <w:szCs w:val="24"/>
          <w:highlight w:val="none"/>
        </w:rPr>
        <w:t>审查判断投标文件是否满足招标文件的实质性要求仅基于投标文件本身而不寻求其他的外部证据。未满足招标文件实质性要求的投标文件将被</w:t>
      </w:r>
      <w:r>
        <w:rPr>
          <w:rFonts w:hint="eastAsia" w:ascii="仿宋" w:hAnsi="仿宋" w:eastAsia="仿宋" w:cs="仿宋"/>
          <w:color w:val="auto"/>
          <w:spacing w:val="0"/>
          <w:sz w:val="24"/>
          <w:szCs w:val="24"/>
          <w:highlight w:val="none"/>
          <w:lang w:eastAsia="zh-CN"/>
        </w:rPr>
        <w:t>评标小组</w:t>
      </w:r>
      <w:r>
        <w:rPr>
          <w:rFonts w:hint="eastAsia" w:ascii="仿宋" w:hAnsi="仿宋" w:eastAsia="仿宋" w:cs="仿宋"/>
          <w:color w:val="auto"/>
          <w:spacing w:val="0"/>
          <w:sz w:val="24"/>
          <w:szCs w:val="24"/>
          <w:highlight w:val="none"/>
        </w:rPr>
        <w:t>否决（即符合性审查不合格），被否决的投标文件不能通过补充、修改（澄清、说明或补正）等方式重新成为满足招标文件实质性要求的投标文件。</w:t>
      </w:r>
    </w:p>
    <w:p w14:paraId="0083D3D8">
      <w:pPr>
        <w:pStyle w:val="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rPr>
        <w:t>（5）</w:t>
      </w:r>
      <w:r>
        <w:rPr>
          <w:rFonts w:hint="eastAsia" w:ascii="仿宋" w:hAnsi="仿宋" w:eastAsia="仿宋" w:cs="仿宋"/>
          <w:color w:val="auto"/>
          <w:spacing w:val="0"/>
          <w:sz w:val="24"/>
          <w:szCs w:val="24"/>
          <w:highlight w:val="none"/>
          <w:lang w:eastAsia="zh-CN"/>
        </w:rPr>
        <w:t>评标小组</w:t>
      </w:r>
      <w:r>
        <w:rPr>
          <w:rFonts w:hint="eastAsia" w:ascii="仿宋" w:hAnsi="仿宋" w:eastAsia="仿宋" w:cs="仿宋"/>
          <w:color w:val="auto"/>
          <w:spacing w:val="0"/>
          <w:sz w:val="24"/>
          <w:szCs w:val="24"/>
          <w:highlight w:val="none"/>
        </w:rPr>
        <w:t>对所有投标人都执行相同的程序和标准。</w:t>
      </w:r>
    </w:p>
    <w:p w14:paraId="1298C60C">
      <w:pPr>
        <w:pStyle w:val="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rPr>
        <w:t>（6）有下列情形之一的，</w:t>
      </w:r>
      <w:r>
        <w:rPr>
          <w:rStyle w:val="11"/>
          <w:rFonts w:hint="eastAsia" w:ascii="仿宋" w:hAnsi="仿宋" w:eastAsia="仿宋" w:cs="仿宋"/>
          <w:b/>
          <w:color w:val="auto"/>
          <w:spacing w:val="0"/>
          <w:sz w:val="24"/>
          <w:szCs w:val="24"/>
          <w:highlight w:val="none"/>
        </w:rPr>
        <w:t>符合性审查不合格：</w:t>
      </w:r>
    </w:p>
    <w:p w14:paraId="006A491A">
      <w:pPr>
        <w:pStyle w:val="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rPr>
        <w:t>①项目一般情形：</w:t>
      </w:r>
    </w:p>
    <w:tbl>
      <w:tblPr>
        <w:tblStyle w:val="9"/>
        <w:tblW w:w="0" w:type="auto"/>
        <w:jc w:val="center"/>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8328"/>
      </w:tblGrid>
      <w:tr w14:paraId="7D82CAD7">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328" w:type="dxa"/>
            <w:tcBorders>
              <w:top w:val="single" w:color="666666" w:sz="6" w:space="0"/>
              <w:left w:val="single" w:color="666666" w:sz="6" w:space="0"/>
              <w:bottom w:val="single" w:color="666666" w:sz="6" w:space="0"/>
              <w:right w:val="single" w:color="666666" w:sz="6" w:space="0"/>
            </w:tcBorders>
            <w:noWrap w:val="0"/>
            <w:vAlign w:val="center"/>
          </w:tcPr>
          <w:p w14:paraId="6603A48C">
            <w:pPr>
              <w:keepNext w:val="0"/>
              <w:keepLines w:val="0"/>
              <w:pageBreakBefore w:val="0"/>
              <w:widowControl w:val="0"/>
              <w:suppressLineNumbers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val="en-US" w:eastAsia="zh-CN" w:bidi="ar"/>
              </w:rPr>
              <w:t>明细</w:t>
            </w:r>
          </w:p>
        </w:tc>
      </w:tr>
      <w:tr w14:paraId="07CEBD52">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83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4F625EC8">
            <w:pPr>
              <w:keepNext w:val="0"/>
              <w:keepLines w:val="0"/>
              <w:pageBreakBefore w:val="0"/>
              <w:widowControl w:val="0"/>
              <w:suppressLineNumbers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违反招标文件中载明“投标无效”条款的规定；</w:t>
            </w:r>
          </w:p>
        </w:tc>
      </w:tr>
      <w:tr w14:paraId="784D54DF">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83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50F0C865">
            <w:pPr>
              <w:pStyle w:val="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rPr>
              <w:t>（1）投标文件未按照招标文件要求签署、盖章；</w:t>
            </w:r>
          </w:p>
          <w:p w14:paraId="4E8D4F5F">
            <w:pPr>
              <w:pStyle w:val="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rPr>
              <w:t>（2）不符合招标文件中规定的资格要求；</w:t>
            </w:r>
          </w:p>
          <w:p w14:paraId="2A4904DA">
            <w:pPr>
              <w:pStyle w:val="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rPr>
              <w:t>（3）投标报价超过招标文件中规定的预算金额或最高限价；</w:t>
            </w:r>
          </w:p>
          <w:p w14:paraId="0CD7A7E3">
            <w:pPr>
              <w:pStyle w:val="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rPr>
              <w:t>（4）投标文件含有采购人不能接受的附加条件；</w:t>
            </w:r>
          </w:p>
          <w:p w14:paraId="6D1ECAF6">
            <w:pPr>
              <w:pStyle w:val="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rPr>
              <w:t>（5）有关法律、法规和规章及招标文件规定的其他无效情形。</w:t>
            </w:r>
          </w:p>
        </w:tc>
      </w:tr>
      <w:tr w14:paraId="2DEE5C00">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83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1B016A8">
            <w:pPr>
              <w:keepNext w:val="0"/>
              <w:keepLines w:val="0"/>
              <w:pageBreakBefore w:val="0"/>
              <w:widowControl w:val="0"/>
              <w:suppressLineNumbers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投标文件对招标文件实质性要求的响应存在重大偏离或保留。</w:t>
            </w:r>
          </w:p>
        </w:tc>
      </w:tr>
    </w:tbl>
    <w:p w14:paraId="1EFA2E2D">
      <w:pPr>
        <w:pStyle w:val="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left="239" w:leftChars="114" w:right="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rPr>
        <w:t>②本项目规定的其他情形：</w:t>
      </w:r>
      <w:r>
        <w:rPr>
          <w:rFonts w:hint="eastAsia" w:ascii="仿宋" w:hAnsi="仿宋" w:eastAsia="仿宋" w:cs="仿宋"/>
          <w:color w:val="auto"/>
          <w:spacing w:val="0"/>
          <w:sz w:val="24"/>
          <w:szCs w:val="24"/>
          <w:highlight w:val="none"/>
        </w:rPr>
        <w:br w:type="textWrapping"/>
      </w:r>
      <w:r>
        <w:rPr>
          <w:rFonts w:hint="eastAsia" w:ascii="仿宋" w:hAnsi="仿宋" w:eastAsia="仿宋" w:cs="仿宋"/>
          <w:color w:val="auto"/>
          <w:spacing w:val="0"/>
          <w:sz w:val="24"/>
          <w:szCs w:val="24"/>
          <w:highlight w:val="none"/>
        </w:rPr>
        <w:t>包：1</w:t>
      </w:r>
      <w:r>
        <w:rPr>
          <w:rFonts w:hint="eastAsia" w:ascii="仿宋" w:hAnsi="仿宋" w:eastAsia="仿宋" w:cs="仿宋"/>
          <w:color w:val="auto"/>
          <w:spacing w:val="0"/>
          <w:sz w:val="24"/>
          <w:szCs w:val="24"/>
          <w:highlight w:val="none"/>
        </w:rPr>
        <w:br w:type="textWrapping"/>
      </w:r>
      <w:r>
        <w:rPr>
          <w:rFonts w:hint="eastAsia" w:ascii="仿宋" w:hAnsi="仿宋" w:eastAsia="仿宋" w:cs="仿宋"/>
          <w:color w:val="auto"/>
          <w:spacing w:val="0"/>
          <w:sz w:val="24"/>
          <w:szCs w:val="24"/>
          <w:highlight w:val="none"/>
        </w:rPr>
        <w:t>包一般情形</w:t>
      </w:r>
    </w:p>
    <w:tbl>
      <w:tblPr>
        <w:tblStyle w:val="9"/>
        <w:tblW w:w="0" w:type="auto"/>
        <w:jc w:val="center"/>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8328"/>
      </w:tblGrid>
      <w:tr w14:paraId="769BFA6C">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8328" w:type="dxa"/>
            <w:tcBorders>
              <w:top w:val="single" w:color="666666" w:sz="6" w:space="0"/>
              <w:left w:val="single" w:color="666666" w:sz="6" w:space="0"/>
              <w:bottom w:val="single" w:color="666666" w:sz="6" w:space="0"/>
              <w:right w:val="single" w:color="666666" w:sz="6" w:space="0"/>
            </w:tcBorders>
            <w:noWrap w:val="0"/>
            <w:vAlign w:val="center"/>
          </w:tcPr>
          <w:p w14:paraId="117E2092">
            <w:pPr>
              <w:keepNext w:val="0"/>
              <w:keepLines w:val="0"/>
              <w:pageBreakBefore w:val="0"/>
              <w:widowControl w:val="0"/>
              <w:suppressLineNumbers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val="en-US" w:eastAsia="zh-CN" w:bidi="ar"/>
              </w:rPr>
              <w:t>明细</w:t>
            </w:r>
          </w:p>
        </w:tc>
      </w:tr>
      <w:tr w14:paraId="64677596">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83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A962787">
            <w:pPr>
              <w:keepNext w:val="0"/>
              <w:keepLines w:val="0"/>
              <w:pageBreakBefore w:val="0"/>
              <w:widowControl w:val="0"/>
              <w:suppressLineNumbers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按照闽财购〔2010〕28号文件规定，</w:t>
            </w:r>
            <w:r>
              <w:rPr>
                <w:rFonts w:hint="eastAsia" w:ascii="仿宋" w:hAnsi="仿宋" w:eastAsia="仿宋" w:cs="仿宋"/>
                <w:b/>
                <w:bCs/>
                <w:color w:val="auto"/>
                <w:kern w:val="0"/>
                <w:sz w:val="24"/>
                <w:szCs w:val="24"/>
                <w:highlight w:val="none"/>
                <w:lang w:val="en-US" w:eastAsia="zh-CN" w:bidi="ar"/>
              </w:rPr>
              <w:t>若投标人的技术部分实际得分少于招标文件设定的技术部分总分的50%，</w:t>
            </w:r>
            <w:r>
              <w:rPr>
                <w:rFonts w:hint="eastAsia" w:ascii="仿宋" w:hAnsi="仿宋" w:eastAsia="仿宋" w:cs="仿宋"/>
                <w:color w:val="auto"/>
                <w:kern w:val="0"/>
                <w:sz w:val="24"/>
                <w:szCs w:val="24"/>
                <w:highlight w:val="none"/>
                <w:lang w:val="en-US" w:eastAsia="zh-CN" w:bidi="ar"/>
              </w:rPr>
              <w:t>即视为技术部分未实质性响应招标文件要求，按无效投标处理。</w:t>
            </w:r>
          </w:p>
        </w:tc>
      </w:tr>
      <w:tr w14:paraId="4D732B60">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83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C34A5F3">
            <w:pPr>
              <w:keepNext w:val="0"/>
              <w:keepLines w:val="0"/>
              <w:pageBreakBefore w:val="0"/>
              <w:widowControl w:val="0"/>
              <w:suppressLineNumbers w:val="0"/>
              <w:kinsoku/>
              <w:wordWrap/>
              <w:overflowPunct/>
              <w:topLinePunct w:val="0"/>
              <w:autoSpaceDE/>
              <w:autoSpaceDN/>
              <w:bidi w:val="0"/>
              <w:adjustRightInd/>
              <w:snapToGrid/>
              <w:spacing w:line="380" w:lineRule="exact"/>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未按照招标文件规定要求盖章的。</w:t>
            </w:r>
          </w:p>
        </w:tc>
      </w:tr>
      <w:tr w14:paraId="002B5C5D">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83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96FB250">
            <w:pPr>
              <w:keepNext w:val="0"/>
              <w:keepLines w:val="0"/>
              <w:pageBreakBefore w:val="0"/>
              <w:widowControl w:val="0"/>
              <w:suppressLineNumbers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投标文件载明的招标项目交付时间超过招标文件规定或未按招标文件要求载明招标项目交付时间的。</w:t>
            </w:r>
          </w:p>
        </w:tc>
      </w:tr>
      <w:tr w14:paraId="05EC7116">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83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8EC1FD9">
            <w:pPr>
              <w:keepNext w:val="0"/>
              <w:keepLines w:val="0"/>
              <w:pageBreakBefore w:val="0"/>
              <w:widowControl w:val="0"/>
              <w:suppressLineNumbers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不符合招标文件中规定的实质性要求和条件、无效投标条款的。</w:t>
            </w:r>
          </w:p>
        </w:tc>
      </w:tr>
      <w:tr w14:paraId="5AF0C4FA">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83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465DCB9C">
            <w:pPr>
              <w:keepNext w:val="0"/>
              <w:keepLines w:val="0"/>
              <w:pageBreakBefore w:val="0"/>
              <w:widowControl w:val="0"/>
              <w:suppressLineNumbers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属于招标文件规定的符合性检查不合格情形。</w:t>
            </w:r>
          </w:p>
        </w:tc>
      </w:tr>
      <w:tr w14:paraId="5A596A2B">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83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195E62D">
            <w:pPr>
              <w:keepNext w:val="0"/>
              <w:keepLines w:val="0"/>
              <w:pageBreakBefore w:val="0"/>
              <w:widowControl w:val="0"/>
              <w:suppressLineNumbers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属于招标文件规定评标小组应否决其投标的情形。</w:t>
            </w:r>
          </w:p>
        </w:tc>
      </w:tr>
      <w:tr w14:paraId="54224B87">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8328"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0F62D504">
            <w:pPr>
              <w:keepNext w:val="0"/>
              <w:keepLines w:val="0"/>
              <w:pageBreakBefore w:val="0"/>
              <w:widowControl w:val="0"/>
              <w:suppressLineNumbers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投标文件的资格及资信证明部分、技术商务部分中出现报价部分的全部或部分的投标报价信息（或组成资料）。</w:t>
            </w:r>
          </w:p>
        </w:tc>
      </w:tr>
    </w:tbl>
    <w:p w14:paraId="28C33BCD">
      <w:pPr>
        <w:pStyle w:val="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lang w:val="en-US" w:eastAsia="zh-CN"/>
        </w:rPr>
        <w:t>4</w:t>
      </w:r>
      <w:r>
        <w:rPr>
          <w:rFonts w:hint="eastAsia" w:ascii="仿宋" w:hAnsi="仿宋" w:eastAsia="仿宋" w:cs="仿宋"/>
          <w:color w:val="auto"/>
          <w:spacing w:val="0"/>
          <w:sz w:val="24"/>
          <w:szCs w:val="24"/>
          <w:highlight w:val="none"/>
        </w:rPr>
        <w:t>.</w:t>
      </w:r>
      <w:r>
        <w:rPr>
          <w:rFonts w:hint="eastAsia" w:ascii="仿宋" w:hAnsi="仿宋" w:eastAsia="仿宋" w:cs="仿宋"/>
          <w:color w:val="auto"/>
          <w:spacing w:val="0"/>
          <w:sz w:val="24"/>
          <w:szCs w:val="24"/>
          <w:highlight w:val="none"/>
          <w:lang w:val="en-US" w:eastAsia="zh-CN"/>
        </w:rPr>
        <w:t>2</w:t>
      </w:r>
      <w:r>
        <w:rPr>
          <w:rFonts w:hint="eastAsia" w:ascii="仿宋" w:hAnsi="仿宋" w:eastAsia="仿宋" w:cs="仿宋"/>
          <w:color w:val="auto"/>
          <w:spacing w:val="0"/>
          <w:sz w:val="24"/>
          <w:szCs w:val="24"/>
          <w:highlight w:val="none"/>
        </w:rPr>
        <w:t>澄清有关问题</w:t>
      </w:r>
    </w:p>
    <w:p w14:paraId="668FBC04">
      <w:pPr>
        <w:pStyle w:val="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left="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rPr>
        <w:t>（1）对通过符合性审查的投标文件中含义不明确、同类问题表述不一致或有明显文字和计算错误的内容，</w:t>
      </w:r>
      <w:r>
        <w:rPr>
          <w:rFonts w:hint="eastAsia" w:ascii="仿宋" w:hAnsi="仿宋" w:eastAsia="仿宋" w:cs="仿宋"/>
          <w:color w:val="auto"/>
          <w:spacing w:val="0"/>
          <w:sz w:val="24"/>
          <w:szCs w:val="24"/>
          <w:highlight w:val="none"/>
          <w:lang w:eastAsia="zh-CN"/>
        </w:rPr>
        <w:t>评标小组</w:t>
      </w:r>
      <w:r>
        <w:rPr>
          <w:rFonts w:hint="eastAsia" w:ascii="仿宋" w:hAnsi="仿宋" w:eastAsia="仿宋" w:cs="仿宋"/>
          <w:color w:val="auto"/>
          <w:spacing w:val="0"/>
          <w:sz w:val="24"/>
          <w:szCs w:val="24"/>
          <w:highlight w:val="none"/>
        </w:rPr>
        <w:t>将以书面形式要求投标人作出必要的澄清、说明或补正。</w:t>
      </w:r>
    </w:p>
    <w:p w14:paraId="798DD1E3">
      <w:pPr>
        <w:pStyle w:val="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left="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rPr>
        <w:t>（2）投标人的澄清、说明或补正应由投标人代表在</w:t>
      </w:r>
      <w:r>
        <w:rPr>
          <w:rFonts w:hint="eastAsia" w:ascii="仿宋" w:hAnsi="仿宋" w:eastAsia="仿宋" w:cs="仿宋"/>
          <w:color w:val="auto"/>
          <w:spacing w:val="0"/>
          <w:sz w:val="24"/>
          <w:szCs w:val="24"/>
          <w:highlight w:val="none"/>
          <w:lang w:eastAsia="zh-CN"/>
        </w:rPr>
        <w:t>评标小组</w:t>
      </w:r>
      <w:r>
        <w:rPr>
          <w:rFonts w:hint="eastAsia" w:ascii="仿宋" w:hAnsi="仿宋" w:eastAsia="仿宋" w:cs="仿宋"/>
          <w:color w:val="auto"/>
          <w:spacing w:val="0"/>
          <w:sz w:val="24"/>
          <w:szCs w:val="24"/>
          <w:highlight w:val="none"/>
        </w:rPr>
        <w:t>规定的时间内以书面形式向</w:t>
      </w:r>
      <w:r>
        <w:rPr>
          <w:rFonts w:hint="eastAsia" w:ascii="仿宋" w:hAnsi="仿宋" w:eastAsia="仿宋" w:cs="仿宋"/>
          <w:color w:val="auto"/>
          <w:spacing w:val="0"/>
          <w:sz w:val="24"/>
          <w:szCs w:val="24"/>
          <w:highlight w:val="none"/>
          <w:lang w:eastAsia="zh-CN"/>
        </w:rPr>
        <w:t>评标小组</w:t>
      </w:r>
      <w:r>
        <w:rPr>
          <w:rFonts w:hint="eastAsia" w:ascii="仿宋" w:hAnsi="仿宋" w:eastAsia="仿宋" w:cs="仿宋"/>
          <w:color w:val="auto"/>
          <w:spacing w:val="0"/>
          <w:sz w:val="24"/>
          <w:szCs w:val="24"/>
          <w:highlight w:val="none"/>
        </w:rPr>
        <w:t>提交，前述澄清、说明或补正不得超出投标文件的范围或改变投标文件的实质性内容。若投标人未按照前述规定向</w:t>
      </w:r>
      <w:r>
        <w:rPr>
          <w:rFonts w:hint="eastAsia" w:ascii="仿宋" w:hAnsi="仿宋" w:eastAsia="仿宋" w:cs="仿宋"/>
          <w:color w:val="auto"/>
          <w:spacing w:val="0"/>
          <w:sz w:val="24"/>
          <w:szCs w:val="24"/>
          <w:highlight w:val="none"/>
          <w:lang w:eastAsia="zh-CN"/>
        </w:rPr>
        <w:t>评标小组</w:t>
      </w:r>
      <w:r>
        <w:rPr>
          <w:rFonts w:hint="eastAsia" w:ascii="仿宋" w:hAnsi="仿宋" w:eastAsia="仿宋" w:cs="仿宋"/>
          <w:color w:val="auto"/>
          <w:spacing w:val="0"/>
          <w:sz w:val="24"/>
          <w:szCs w:val="24"/>
          <w:highlight w:val="none"/>
        </w:rPr>
        <w:t>提交书面澄清、说明或补正，则</w:t>
      </w:r>
      <w:r>
        <w:rPr>
          <w:rFonts w:hint="eastAsia" w:ascii="仿宋" w:hAnsi="仿宋" w:eastAsia="仿宋" w:cs="仿宋"/>
          <w:color w:val="auto"/>
          <w:spacing w:val="0"/>
          <w:sz w:val="24"/>
          <w:szCs w:val="24"/>
          <w:highlight w:val="none"/>
          <w:lang w:eastAsia="zh-CN"/>
        </w:rPr>
        <w:t>评标小组</w:t>
      </w:r>
      <w:r>
        <w:rPr>
          <w:rFonts w:hint="eastAsia" w:ascii="仿宋" w:hAnsi="仿宋" w:eastAsia="仿宋" w:cs="仿宋"/>
          <w:color w:val="auto"/>
          <w:spacing w:val="0"/>
          <w:sz w:val="24"/>
          <w:szCs w:val="24"/>
          <w:highlight w:val="none"/>
        </w:rPr>
        <w:t>将按照不利于投标人的内容进行认定。</w:t>
      </w:r>
    </w:p>
    <w:p w14:paraId="4B4E5A80">
      <w:pPr>
        <w:pStyle w:val="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left="0" w:right="0" w:firstLine="482" w:firstLineChars="200"/>
        <w:jc w:val="both"/>
        <w:textAlignment w:val="auto"/>
        <w:rPr>
          <w:rFonts w:hint="eastAsia" w:ascii="仿宋" w:hAnsi="仿宋" w:eastAsia="仿宋" w:cs="仿宋"/>
          <w:color w:val="auto"/>
          <w:sz w:val="24"/>
          <w:szCs w:val="24"/>
          <w:highlight w:val="none"/>
        </w:rPr>
      </w:pPr>
      <w:r>
        <w:rPr>
          <w:rStyle w:val="11"/>
          <w:rFonts w:hint="eastAsia" w:ascii="仿宋" w:hAnsi="仿宋" w:eastAsia="仿宋" w:cs="仿宋"/>
          <w:b/>
          <w:color w:val="auto"/>
          <w:spacing w:val="0"/>
          <w:sz w:val="24"/>
          <w:szCs w:val="24"/>
          <w:highlight w:val="none"/>
        </w:rPr>
        <w:t>※同时出现两种以上不一致的，按照前款规定的顺序修正。修正后的报价应按照本章第</w:t>
      </w:r>
      <w:r>
        <w:rPr>
          <w:rStyle w:val="11"/>
          <w:rFonts w:hint="eastAsia" w:ascii="仿宋" w:hAnsi="仿宋" w:eastAsia="仿宋" w:cs="仿宋"/>
          <w:b/>
          <w:color w:val="auto"/>
          <w:spacing w:val="0"/>
          <w:sz w:val="24"/>
          <w:szCs w:val="24"/>
          <w:highlight w:val="none"/>
          <w:lang w:val="en-US" w:eastAsia="zh-CN"/>
        </w:rPr>
        <w:t>4</w:t>
      </w:r>
      <w:r>
        <w:rPr>
          <w:rStyle w:val="11"/>
          <w:rFonts w:hint="eastAsia" w:ascii="仿宋" w:hAnsi="仿宋" w:eastAsia="仿宋" w:cs="仿宋"/>
          <w:b/>
          <w:color w:val="auto"/>
          <w:spacing w:val="0"/>
          <w:sz w:val="24"/>
          <w:szCs w:val="24"/>
          <w:highlight w:val="none"/>
        </w:rPr>
        <w:t>.</w:t>
      </w:r>
      <w:r>
        <w:rPr>
          <w:rStyle w:val="11"/>
          <w:rFonts w:hint="eastAsia" w:ascii="仿宋" w:hAnsi="仿宋" w:eastAsia="仿宋" w:cs="仿宋"/>
          <w:b/>
          <w:color w:val="auto"/>
          <w:spacing w:val="0"/>
          <w:sz w:val="24"/>
          <w:szCs w:val="24"/>
          <w:highlight w:val="none"/>
          <w:lang w:val="en-US" w:eastAsia="zh-CN"/>
        </w:rPr>
        <w:t>2</w:t>
      </w:r>
      <w:r>
        <w:rPr>
          <w:rStyle w:val="11"/>
          <w:rFonts w:hint="eastAsia" w:ascii="仿宋" w:hAnsi="仿宋" w:eastAsia="仿宋" w:cs="仿宋"/>
          <w:b/>
          <w:color w:val="auto"/>
          <w:spacing w:val="0"/>
          <w:sz w:val="24"/>
          <w:szCs w:val="24"/>
          <w:highlight w:val="none"/>
        </w:rPr>
        <w:t>条第（1）、（2）款规定经投标人确认后产生约束力，投标人不确认的，其投标无效。</w:t>
      </w:r>
    </w:p>
    <w:p w14:paraId="6F04F83E">
      <w:pPr>
        <w:pStyle w:val="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left="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rPr>
        <w:t>（</w:t>
      </w:r>
      <w:r>
        <w:rPr>
          <w:rFonts w:hint="eastAsia" w:ascii="仿宋" w:hAnsi="仿宋" w:eastAsia="仿宋" w:cs="仿宋"/>
          <w:color w:val="auto"/>
          <w:spacing w:val="0"/>
          <w:sz w:val="24"/>
          <w:szCs w:val="24"/>
          <w:highlight w:val="none"/>
          <w:lang w:val="en-US" w:eastAsia="zh-CN"/>
        </w:rPr>
        <w:t>3</w:t>
      </w:r>
      <w:r>
        <w:rPr>
          <w:rFonts w:hint="eastAsia" w:ascii="仿宋" w:hAnsi="仿宋" w:eastAsia="仿宋" w:cs="仿宋"/>
          <w:color w:val="auto"/>
          <w:spacing w:val="0"/>
          <w:sz w:val="24"/>
          <w:szCs w:val="24"/>
          <w:highlight w:val="none"/>
        </w:rPr>
        <w:t>）关于细微偏差</w:t>
      </w:r>
    </w:p>
    <w:p w14:paraId="472278BA">
      <w:pPr>
        <w:pStyle w:val="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left="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14:paraId="525DFEB4">
      <w:pPr>
        <w:pStyle w:val="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left="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rPr>
        <w:t>②评标</w:t>
      </w:r>
      <w:r>
        <w:rPr>
          <w:rFonts w:hint="eastAsia" w:ascii="仿宋" w:hAnsi="仿宋" w:eastAsia="仿宋" w:cs="仿宋"/>
          <w:color w:val="auto"/>
          <w:spacing w:val="0"/>
          <w:sz w:val="24"/>
          <w:szCs w:val="24"/>
          <w:highlight w:val="none"/>
          <w:lang w:eastAsia="zh-CN"/>
        </w:rPr>
        <w:t>小组</w:t>
      </w:r>
      <w:r>
        <w:rPr>
          <w:rFonts w:hint="eastAsia" w:ascii="仿宋" w:hAnsi="仿宋" w:eastAsia="仿宋" w:cs="仿宋"/>
          <w:color w:val="auto"/>
          <w:spacing w:val="0"/>
          <w:sz w:val="24"/>
          <w:szCs w:val="24"/>
          <w:highlight w:val="none"/>
        </w:rPr>
        <w:t>将以书面形式要求存在细微偏差的投标人在</w:t>
      </w:r>
      <w:r>
        <w:rPr>
          <w:rFonts w:hint="eastAsia" w:ascii="仿宋" w:hAnsi="仿宋" w:eastAsia="仿宋" w:cs="仿宋"/>
          <w:color w:val="auto"/>
          <w:spacing w:val="0"/>
          <w:sz w:val="24"/>
          <w:szCs w:val="24"/>
          <w:highlight w:val="none"/>
          <w:lang w:eastAsia="zh-CN"/>
        </w:rPr>
        <w:t>评标小组</w:t>
      </w:r>
      <w:r>
        <w:rPr>
          <w:rFonts w:hint="eastAsia" w:ascii="仿宋" w:hAnsi="仿宋" w:eastAsia="仿宋" w:cs="仿宋"/>
          <w:color w:val="auto"/>
          <w:spacing w:val="0"/>
          <w:sz w:val="24"/>
          <w:szCs w:val="24"/>
          <w:highlight w:val="none"/>
        </w:rPr>
        <w:t>规定的时间内予以补正。若无法补正，则</w:t>
      </w:r>
      <w:r>
        <w:rPr>
          <w:rFonts w:hint="eastAsia" w:ascii="仿宋" w:hAnsi="仿宋" w:eastAsia="仿宋" w:cs="仿宋"/>
          <w:color w:val="auto"/>
          <w:spacing w:val="0"/>
          <w:sz w:val="24"/>
          <w:szCs w:val="24"/>
          <w:highlight w:val="none"/>
          <w:lang w:eastAsia="zh-CN"/>
        </w:rPr>
        <w:t>评标小组</w:t>
      </w:r>
      <w:r>
        <w:rPr>
          <w:rFonts w:hint="eastAsia" w:ascii="仿宋" w:hAnsi="仿宋" w:eastAsia="仿宋" w:cs="仿宋"/>
          <w:color w:val="auto"/>
          <w:spacing w:val="0"/>
          <w:sz w:val="24"/>
          <w:szCs w:val="24"/>
          <w:highlight w:val="none"/>
        </w:rPr>
        <w:t>将按照不利于投标人的内容进行认定。</w:t>
      </w:r>
    </w:p>
    <w:p w14:paraId="28C9C8DE">
      <w:pPr>
        <w:pStyle w:val="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left="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rPr>
        <w:t>（</w:t>
      </w:r>
      <w:r>
        <w:rPr>
          <w:rFonts w:hint="eastAsia" w:ascii="仿宋" w:hAnsi="仿宋" w:eastAsia="仿宋" w:cs="仿宋"/>
          <w:color w:val="auto"/>
          <w:spacing w:val="0"/>
          <w:sz w:val="24"/>
          <w:szCs w:val="24"/>
          <w:highlight w:val="none"/>
          <w:lang w:val="en-US" w:eastAsia="zh-CN"/>
        </w:rPr>
        <w:t>4</w:t>
      </w:r>
      <w:r>
        <w:rPr>
          <w:rFonts w:hint="eastAsia" w:ascii="仿宋" w:hAnsi="仿宋" w:eastAsia="仿宋" w:cs="仿宋"/>
          <w:color w:val="auto"/>
          <w:spacing w:val="0"/>
          <w:sz w:val="24"/>
          <w:szCs w:val="24"/>
          <w:highlight w:val="none"/>
        </w:rPr>
        <w:t>）关于投标描述（即投标文件中描述的内容）</w:t>
      </w:r>
    </w:p>
    <w:p w14:paraId="2CBEEFCE">
      <w:pPr>
        <w:pStyle w:val="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left="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rPr>
        <w:t>①投标描述前后不一致且不涉及证明材料的：按照本章第</w:t>
      </w:r>
      <w:r>
        <w:rPr>
          <w:rFonts w:hint="eastAsia" w:ascii="仿宋" w:hAnsi="仿宋" w:eastAsia="仿宋" w:cs="仿宋"/>
          <w:color w:val="auto"/>
          <w:spacing w:val="0"/>
          <w:sz w:val="24"/>
          <w:szCs w:val="24"/>
          <w:highlight w:val="none"/>
          <w:lang w:val="en-US" w:eastAsia="zh-CN"/>
        </w:rPr>
        <w:t>4</w:t>
      </w:r>
      <w:r>
        <w:rPr>
          <w:rFonts w:hint="eastAsia" w:ascii="仿宋" w:hAnsi="仿宋" w:eastAsia="仿宋" w:cs="仿宋"/>
          <w:color w:val="auto"/>
          <w:spacing w:val="0"/>
          <w:sz w:val="24"/>
          <w:szCs w:val="24"/>
          <w:highlight w:val="none"/>
        </w:rPr>
        <w:t>.</w:t>
      </w:r>
      <w:r>
        <w:rPr>
          <w:rFonts w:hint="eastAsia" w:ascii="仿宋" w:hAnsi="仿宋" w:eastAsia="仿宋" w:cs="仿宋"/>
          <w:color w:val="auto"/>
          <w:spacing w:val="0"/>
          <w:sz w:val="24"/>
          <w:szCs w:val="24"/>
          <w:highlight w:val="none"/>
          <w:lang w:val="en-US" w:eastAsia="zh-CN"/>
        </w:rPr>
        <w:t>2</w:t>
      </w:r>
      <w:r>
        <w:rPr>
          <w:rFonts w:hint="eastAsia" w:ascii="仿宋" w:hAnsi="仿宋" w:eastAsia="仿宋" w:cs="仿宋"/>
          <w:color w:val="auto"/>
          <w:spacing w:val="0"/>
          <w:sz w:val="24"/>
          <w:szCs w:val="24"/>
          <w:highlight w:val="none"/>
        </w:rPr>
        <w:t>条第（1）、（2）款规定执行。</w:t>
      </w:r>
    </w:p>
    <w:p w14:paraId="5DEFA7CF">
      <w:pPr>
        <w:pStyle w:val="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left="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rPr>
        <w:t>②投标描述与证明材料不一致或多份证明材料之间不一致的：</w:t>
      </w:r>
    </w:p>
    <w:p w14:paraId="4752961C">
      <w:pPr>
        <w:pStyle w:val="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left="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rPr>
        <w:t>a.</w:t>
      </w:r>
      <w:r>
        <w:rPr>
          <w:rFonts w:hint="eastAsia" w:ascii="仿宋" w:hAnsi="仿宋" w:eastAsia="仿宋" w:cs="仿宋"/>
          <w:color w:val="auto"/>
          <w:spacing w:val="0"/>
          <w:sz w:val="24"/>
          <w:szCs w:val="24"/>
          <w:highlight w:val="none"/>
          <w:lang w:eastAsia="zh-CN"/>
        </w:rPr>
        <w:t>评标小组</w:t>
      </w:r>
      <w:r>
        <w:rPr>
          <w:rFonts w:hint="eastAsia" w:ascii="仿宋" w:hAnsi="仿宋" w:eastAsia="仿宋" w:cs="仿宋"/>
          <w:color w:val="auto"/>
          <w:spacing w:val="0"/>
          <w:sz w:val="24"/>
          <w:szCs w:val="24"/>
          <w:highlight w:val="none"/>
        </w:rPr>
        <w:t>将要求投标人进行书面澄清，并按照不利于投标人的内容进行评标。</w:t>
      </w:r>
    </w:p>
    <w:p w14:paraId="44B93D2F">
      <w:pPr>
        <w:pStyle w:val="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left="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151A6CA4">
      <w:pPr>
        <w:pStyle w:val="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left="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3BB98627">
      <w:pPr>
        <w:pStyle w:val="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left="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lang w:val="en-US" w:eastAsia="zh-CN"/>
        </w:rPr>
        <w:t>4</w:t>
      </w:r>
      <w:r>
        <w:rPr>
          <w:rFonts w:hint="eastAsia" w:ascii="仿宋" w:hAnsi="仿宋" w:eastAsia="仿宋" w:cs="仿宋"/>
          <w:color w:val="auto"/>
          <w:spacing w:val="0"/>
          <w:sz w:val="24"/>
          <w:szCs w:val="24"/>
          <w:highlight w:val="none"/>
        </w:rPr>
        <w:t>.</w:t>
      </w:r>
      <w:r>
        <w:rPr>
          <w:rFonts w:hint="eastAsia" w:ascii="仿宋" w:hAnsi="仿宋" w:eastAsia="仿宋" w:cs="仿宋"/>
          <w:color w:val="auto"/>
          <w:spacing w:val="0"/>
          <w:sz w:val="24"/>
          <w:szCs w:val="24"/>
          <w:highlight w:val="none"/>
          <w:lang w:val="en-US" w:eastAsia="zh-CN"/>
        </w:rPr>
        <w:t>3</w:t>
      </w:r>
      <w:r>
        <w:rPr>
          <w:rFonts w:hint="eastAsia" w:ascii="仿宋" w:hAnsi="仿宋" w:eastAsia="仿宋" w:cs="仿宋"/>
          <w:color w:val="auto"/>
          <w:spacing w:val="0"/>
          <w:sz w:val="24"/>
          <w:szCs w:val="24"/>
          <w:highlight w:val="none"/>
        </w:rPr>
        <w:t>推荐中标候选人：详见</w:t>
      </w:r>
      <w:r>
        <w:rPr>
          <w:rFonts w:hint="eastAsia" w:ascii="仿宋" w:hAnsi="仿宋" w:eastAsia="仿宋" w:cs="仿宋"/>
          <w:color w:val="auto"/>
          <w:spacing w:val="0"/>
          <w:sz w:val="24"/>
          <w:szCs w:val="24"/>
          <w:highlight w:val="none"/>
          <w:lang w:eastAsia="zh-CN"/>
        </w:rPr>
        <w:t>评标标准和办法</w:t>
      </w:r>
      <w:r>
        <w:rPr>
          <w:rFonts w:hint="eastAsia" w:ascii="仿宋" w:hAnsi="仿宋" w:eastAsia="仿宋" w:cs="仿宋"/>
          <w:color w:val="auto"/>
          <w:spacing w:val="0"/>
          <w:sz w:val="24"/>
          <w:szCs w:val="24"/>
          <w:highlight w:val="none"/>
        </w:rPr>
        <w:t>。</w:t>
      </w:r>
    </w:p>
    <w:p w14:paraId="4602A04D">
      <w:pPr>
        <w:pStyle w:val="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left="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lang w:val="en-US" w:eastAsia="zh-CN"/>
        </w:rPr>
        <w:t>4</w:t>
      </w:r>
      <w:r>
        <w:rPr>
          <w:rFonts w:hint="eastAsia" w:ascii="仿宋" w:hAnsi="仿宋" w:eastAsia="仿宋" w:cs="仿宋"/>
          <w:color w:val="auto"/>
          <w:spacing w:val="0"/>
          <w:sz w:val="24"/>
          <w:szCs w:val="24"/>
          <w:highlight w:val="none"/>
        </w:rPr>
        <w:t>.</w:t>
      </w:r>
      <w:r>
        <w:rPr>
          <w:rFonts w:hint="eastAsia" w:ascii="仿宋" w:hAnsi="仿宋" w:eastAsia="仿宋" w:cs="仿宋"/>
          <w:color w:val="auto"/>
          <w:spacing w:val="0"/>
          <w:sz w:val="24"/>
          <w:szCs w:val="24"/>
          <w:highlight w:val="none"/>
          <w:lang w:val="en-US" w:eastAsia="zh-CN"/>
        </w:rPr>
        <w:t>4</w:t>
      </w:r>
      <w:r>
        <w:rPr>
          <w:rFonts w:hint="eastAsia" w:ascii="仿宋" w:hAnsi="仿宋" w:eastAsia="仿宋" w:cs="仿宋"/>
          <w:color w:val="auto"/>
          <w:spacing w:val="0"/>
          <w:sz w:val="24"/>
          <w:szCs w:val="24"/>
          <w:highlight w:val="none"/>
        </w:rPr>
        <w:t>评标</w:t>
      </w:r>
      <w:r>
        <w:rPr>
          <w:rFonts w:hint="eastAsia" w:ascii="仿宋" w:hAnsi="仿宋" w:eastAsia="仿宋" w:cs="仿宋"/>
          <w:color w:val="auto"/>
          <w:spacing w:val="0"/>
          <w:sz w:val="24"/>
          <w:szCs w:val="24"/>
          <w:highlight w:val="none"/>
          <w:lang w:eastAsia="zh-CN"/>
        </w:rPr>
        <w:t>小组</w:t>
      </w:r>
      <w:r>
        <w:rPr>
          <w:rFonts w:hint="eastAsia" w:ascii="仿宋" w:hAnsi="仿宋" w:eastAsia="仿宋" w:cs="仿宋"/>
          <w:color w:val="auto"/>
          <w:spacing w:val="0"/>
          <w:sz w:val="24"/>
          <w:szCs w:val="24"/>
          <w:highlight w:val="none"/>
        </w:rPr>
        <w:t>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w:t>
      </w:r>
      <w:r>
        <w:rPr>
          <w:rFonts w:hint="eastAsia" w:ascii="仿宋" w:hAnsi="仿宋" w:eastAsia="仿宋" w:cs="仿宋"/>
          <w:color w:val="auto"/>
          <w:spacing w:val="0"/>
          <w:sz w:val="24"/>
          <w:szCs w:val="24"/>
          <w:highlight w:val="none"/>
          <w:lang w:eastAsia="zh-CN"/>
        </w:rPr>
        <w:t>评标小组</w:t>
      </w:r>
      <w:r>
        <w:rPr>
          <w:rFonts w:hint="eastAsia" w:ascii="仿宋" w:hAnsi="仿宋" w:eastAsia="仿宋" w:cs="仿宋"/>
          <w:color w:val="auto"/>
          <w:spacing w:val="0"/>
          <w:sz w:val="24"/>
          <w:szCs w:val="24"/>
          <w:highlight w:val="none"/>
        </w:rPr>
        <w:t>应将其作为</w:t>
      </w:r>
      <w:r>
        <w:rPr>
          <w:rStyle w:val="11"/>
          <w:rFonts w:hint="eastAsia" w:ascii="仿宋" w:hAnsi="仿宋" w:eastAsia="仿宋" w:cs="仿宋"/>
          <w:b/>
          <w:color w:val="auto"/>
          <w:spacing w:val="0"/>
          <w:sz w:val="24"/>
          <w:szCs w:val="24"/>
          <w:highlight w:val="none"/>
        </w:rPr>
        <w:t>投标无效</w:t>
      </w:r>
      <w:r>
        <w:rPr>
          <w:rFonts w:hint="eastAsia" w:ascii="仿宋" w:hAnsi="仿宋" w:eastAsia="仿宋" w:cs="仿宋"/>
          <w:color w:val="auto"/>
          <w:spacing w:val="0"/>
          <w:sz w:val="24"/>
          <w:szCs w:val="24"/>
          <w:highlight w:val="none"/>
        </w:rPr>
        <w:t>处理。</w:t>
      </w:r>
    </w:p>
    <w:p w14:paraId="42134D9E">
      <w:pPr>
        <w:pStyle w:val="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left="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lang w:val="en-US" w:eastAsia="zh-CN"/>
        </w:rPr>
        <w:t>4</w:t>
      </w:r>
      <w:r>
        <w:rPr>
          <w:rFonts w:hint="eastAsia" w:ascii="仿宋" w:hAnsi="仿宋" w:eastAsia="仿宋" w:cs="仿宋"/>
          <w:color w:val="auto"/>
          <w:spacing w:val="0"/>
          <w:sz w:val="24"/>
          <w:szCs w:val="24"/>
          <w:highlight w:val="none"/>
        </w:rPr>
        <w:t>.</w:t>
      </w:r>
      <w:r>
        <w:rPr>
          <w:rFonts w:hint="eastAsia" w:ascii="仿宋" w:hAnsi="仿宋" w:eastAsia="仿宋" w:cs="仿宋"/>
          <w:color w:val="auto"/>
          <w:spacing w:val="0"/>
          <w:sz w:val="24"/>
          <w:szCs w:val="24"/>
          <w:highlight w:val="none"/>
          <w:lang w:val="en-US" w:eastAsia="zh-CN"/>
        </w:rPr>
        <w:t>5</w:t>
      </w:r>
      <w:r>
        <w:rPr>
          <w:rFonts w:hint="eastAsia" w:ascii="仿宋" w:hAnsi="仿宋" w:eastAsia="仿宋" w:cs="仿宋"/>
          <w:color w:val="auto"/>
          <w:spacing w:val="0"/>
          <w:sz w:val="24"/>
          <w:szCs w:val="24"/>
          <w:highlight w:val="none"/>
        </w:rPr>
        <w:t>评委对需要共同认定的事项存在争议的，应按照少数服从多数的原则进行认定。</w:t>
      </w:r>
      <w:r>
        <w:rPr>
          <w:rStyle w:val="11"/>
          <w:rFonts w:hint="eastAsia" w:ascii="仿宋" w:hAnsi="仿宋" w:eastAsia="仿宋" w:cs="仿宋"/>
          <w:b/>
          <w:color w:val="auto"/>
          <w:spacing w:val="0"/>
          <w:sz w:val="24"/>
          <w:szCs w:val="24"/>
          <w:highlight w:val="none"/>
        </w:rPr>
        <w:t>持不同意见的评委应在评标报告上签署不同意见及理由，否则视为同意评标报告。</w:t>
      </w:r>
    </w:p>
    <w:p w14:paraId="6D5E82FE">
      <w:pPr>
        <w:pStyle w:val="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left="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lang w:val="en-US" w:eastAsia="zh-CN"/>
        </w:rPr>
        <w:t>4</w:t>
      </w:r>
      <w:r>
        <w:rPr>
          <w:rFonts w:hint="eastAsia" w:ascii="仿宋" w:hAnsi="仿宋" w:eastAsia="仿宋" w:cs="仿宋"/>
          <w:color w:val="auto"/>
          <w:spacing w:val="0"/>
          <w:sz w:val="24"/>
          <w:szCs w:val="24"/>
          <w:highlight w:val="none"/>
        </w:rPr>
        <w:t>.</w:t>
      </w:r>
      <w:r>
        <w:rPr>
          <w:rFonts w:hint="eastAsia" w:ascii="仿宋" w:hAnsi="仿宋" w:eastAsia="仿宋" w:cs="仿宋"/>
          <w:color w:val="auto"/>
          <w:spacing w:val="0"/>
          <w:sz w:val="24"/>
          <w:szCs w:val="24"/>
          <w:highlight w:val="none"/>
          <w:lang w:val="en-US" w:eastAsia="zh-CN"/>
        </w:rPr>
        <w:t>6</w:t>
      </w:r>
      <w:r>
        <w:rPr>
          <w:rFonts w:hint="eastAsia" w:ascii="仿宋" w:hAnsi="仿宋" w:eastAsia="仿宋" w:cs="仿宋"/>
          <w:color w:val="auto"/>
          <w:spacing w:val="0"/>
          <w:sz w:val="24"/>
          <w:szCs w:val="24"/>
          <w:highlight w:val="none"/>
        </w:rPr>
        <w:t>在评标过程中发现投标人有下列情形之一的，</w:t>
      </w:r>
      <w:r>
        <w:rPr>
          <w:rFonts w:hint="eastAsia" w:ascii="仿宋" w:hAnsi="仿宋" w:eastAsia="仿宋" w:cs="仿宋"/>
          <w:color w:val="auto"/>
          <w:spacing w:val="0"/>
          <w:sz w:val="24"/>
          <w:szCs w:val="24"/>
          <w:highlight w:val="none"/>
          <w:lang w:eastAsia="zh-CN"/>
        </w:rPr>
        <w:t>评标小组</w:t>
      </w:r>
      <w:r>
        <w:rPr>
          <w:rFonts w:hint="eastAsia" w:ascii="仿宋" w:hAnsi="仿宋" w:eastAsia="仿宋" w:cs="仿宋"/>
          <w:color w:val="auto"/>
          <w:spacing w:val="0"/>
          <w:sz w:val="24"/>
          <w:szCs w:val="24"/>
          <w:highlight w:val="none"/>
        </w:rPr>
        <w:t>应认定其</w:t>
      </w:r>
      <w:r>
        <w:rPr>
          <w:rStyle w:val="11"/>
          <w:rFonts w:hint="eastAsia" w:ascii="仿宋" w:hAnsi="仿宋" w:eastAsia="仿宋" w:cs="仿宋"/>
          <w:b/>
          <w:color w:val="auto"/>
          <w:spacing w:val="0"/>
          <w:sz w:val="24"/>
          <w:szCs w:val="24"/>
          <w:highlight w:val="none"/>
        </w:rPr>
        <w:t>投标无效</w:t>
      </w:r>
      <w:r>
        <w:rPr>
          <w:rFonts w:hint="eastAsia" w:ascii="仿宋" w:hAnsi="仿宋" w:eastAsia="仿宋" w:cs="仿宋"/>
          <w:color w:val="auto"/>
          <w:spacing w:val="0"/>
          <w:sz w:val="24"/>
          <w:szCs w:val="24"/>
          <w:highlight w:val="none"/>
        </w:rPr>
        <w:t>，并书面报告本项目监督管理部门：</w:t>
      </w:r>
    </w:p>
    <w:p w14:paraId="21BA8E2B">
      <w:pPr>
        <w:pStyle w:val="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left="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rPr>
        <w:t>（1）恶意串通；</w:t>
      </w:r>
    </w:p>
    <w:p w14:paraId="05B156AE">
      <w:pPr>
        <w:pStyle w:val="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left="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rPr>
        <w:t>（2）妨碍其他投标人的竞争行为；</w:t>
      </w:r>
    </w:p>
    <w:p w14:paraId="5211578E">
      <w:pPr>
        <w:pStyle w:val="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left="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rPr>
        <w:t>（3）损害采购人或其他投标人的合法权益。</w:t>
      </w:r>
    </w:p>
    <w:p w14:paraId="79FB7D25">
      <w:pPr>
        <w:pStyle w:val="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left="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lang w:val="en-US" w:eastAsia="zh-CN"/>
        </w:rPr>
        <w:t>4</w:t>
      </w:r>
      <w:r>
        <w:rPr>
          <w:rFonts w:hint="eastAsia" w:ascii="仿宋" w:hAnsi="仿宋" w:eastAsia="仿宋" w:cs="仿宋"/>
          <w:color w:val="auto"/>
          <w:spacing w:val="0"/>
          <w:sz w:val="24"/>
          <w:szCs w:val="24"/>
          <w:highlight w:val="none"/>
        </w:rPr>
        <w:t>.</w:t>
      </w:r>
      <w:r>
        <w:rPr>
          <w:rFonts w:hint="eastAsia" w:ascii="仿宋" w:hAnsi="仿宋" w:eastAsia="仿宋" w:cs="仿宋"/>
          <w:color w:val="auto"/>
          <w:spacing w:val="0"/>
          <w:sz w:val="24"/>
          <w:szCs w:val="24"/>
          <w:highlight w:val="none"/>
          <w:lang w:val="en-US" w:eastAsia="zh-CN"/>
        </w:rPr>
        <w:t>7</w:t>
      </w:r>
      <w:r>
        <w:rPr>
          <w:rFonts w:hint="eastAsia" w:ascii="仿宋" w:hAnsi="仿宋" w:eastAsia="仿宋" w:cs="仿宋"/>
          <w:color w:val="auto"/>
          <w:spacing w:val="0"/>
          <w:sz w:val="24"/>
          <w:szCs w:val="24"/>
          <w:highlight w:val="none"/>
        </w:rPr>
        <w:t>评标过程中，有下列情形之一的，应予废标：</w:t>
      </w:r>
    </w:p>
    <w:p w14:paraId="74B76F50">
      <w:pPr>
        <w:pStyle w:val="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left="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rPr>
        <w:t>（1）符合性审查合格的投标人不足三家的；</w:t>
      </w:r>
    </w:p>
    <w:p w14:paraId="0E364D09">
      <w:pPr>
        <w:pStyle w:val="8"/>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80" w:lineRule="exact"/>
        <w:ind w:left="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rPr>
        <w:t>（2）有关法律、法规和规章规定废标的情形。</w:t>
      </w:r>
    </w:p>
    <w:p w14:paraId="663A4B26">
      <w:pPr>
        <w:pStyle w:val="4"/>
        <w:keepLines w:val="0"/>
        <w:pageBreakBefore w:val="0"/>
        <w:widowControl w:val="0"/>
        <w:kinsoku/>
        <w:wordWrap/>
        <w:overflowPunct/>
        <w:topLinePunct w:val="0"/>
        <w:autoSpaceDE/>
        <w:autoSpaceDN/>
        <w:bidi w:val="0"/>
        <w:adjustRightInd/>
        <w:snapToGrid/>
        <w:spacing w:line="380" w:lineRule="exact"/>
        <w:ind w:firstLine="482" w:firstLineChars="200"/>
        <w:jc w:val="both"/>
        <w:textAlignment w:val="auto"/>
        <w:rPr>
          <w:rStyle w:val="11"/>
          <w:rFonts w:hint="eastAsia" w:ascii="仿宋" w:hAnsi="仿宋" w:eastAsia="仿宋" w:cs="仿宋"/>
          <w:b/>
          <w:color w:val="auto"/>
          <w:spacing w:val="0"/>
          <w:sz w:val="24"/>
          <w:szCs w:val="24"/>
          <w:highlight w:val="none"/>
        </w:rPr>
      </w:pPr>
      <w:r>
        <w:rPr>
          <w:rStyle w:val="11"/>
          <w:rFonts w:hint="eastAsia" w:ascii="仿宋" w:hAnsi="仿宋" w:eastAsia="仿宋" w:cs="仿宋"/>
          <w:b/>
          <w:color w:val="auto"/>
          <w:spacing w:val="0"/>
          <w:sz w:val="24"/>
          <w:szCs w:val="24"/>
          <w:highlight w:val="none"/>
        </w:rPr>
        <w:t>※若废标，则本次采购活动结束，</w:t>
      </w:r>
      <w:r>
        <w:rPr>
          <w:rFonts w:hint="eastAsia" w:ascii="仿宋" w:hAnsi="仿宋" w:eastAsia="仿宋" w:cs="仿宋"/>
          <w:color w:val="auto"/>
          <w:spacing w:val="0"/>
          <w:sz w:val="24"/>
          <w:szCs w:val="24"/>
          <w:highlight w:val="none"/>
          <w:u w:val="single"/>
          <w:lang w:eastAsia="zh-CN"/>
        </w:rPr>
        <w:t>福建中医药大学附属第三人民医院</w:t>
      </w:r>
      <w:r>
        <w:rPr>
          <w:rStyle w:val="11"/>
          <w:rFonts w:hint="eastAsia" w:ascii="仿宋" w:hAnsi="仿宋" w:eastAsia="仿宋" w:cs="仿宋"/>
          <w:b/>
          <w:color w:val="auto"/>
          <w:spacing w:val="0"/>
          <w:sz w:val="24"/>
          <w:szCs w:val="24"/>
          <w:highlight w:val="none"/>
        </w:rPr>
        <w:t>将依法组织后续采购活动（包括但不限于：重新招标、采用其他方式采购等）。</w:t>
      </w:r>
    </w:p>
    <w:p w14:paraId="19C648AF">
      <w:pPr>
        <w:keepNext w:val="0"/>
        <w:keepLines w:val="0"/>
        <w:pageBreakBefore w:val="0"/>
        <w:widowControl w:val="0"/>
        <w:numPr>
          <w:ilvl w:val="0"/>
          <w:numId w:val="3"/>
        </w:numPr>
        <w:kinsoku/>
        <w:wordWrap/>
        <w:overflowPunct/>
        <w:topLinePunct w:val="0"/>
        <w:autoSpaceDE/>
        <w:autoSpaceDN/>
        <w:bidi w:val="0"/>
        <w:adjustRightInd/>
        <w:snapToGrid/>
        <w:spacing w:line="380" w:lineRule="exact"/>
        <w:ind w:firstLine="482" w:firstLineChars="200"/>
        <w:jc w:val="both"/>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评标标准和办法</w:t>
      </w:r>
    </w:p>
    <w:p w14:paraId="400CBE4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2" w:firstLineChars="200"/>
        <w:jc w:val="both"/>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本采购项目评标方法采用：</w:t>
      </w:r>
      <w:r>
        <w:rPr>
          <w:rFonts w:hint="eastAsia" w:ascii="仿宋" w:hAnsi="仿宋" w:eastAsia="仿宋" w:cs="仿宋"/>
          <w:b/>
          <w:color w:val="auto"/>
          <w:sz w:val="24"/>
          <w:highlight w:val="none"/>
        </w:rPr>
        <w:t>综合评分法</w:t>
      </w:r>
      <w:r>
        <w:rPr>
          <w:rFonts w:hint="eastAsia" w:ascii="仿宋" w:hAnsi="仿宋" w:eastAsia="仿宋" w:cs="仿宋"/>
          <w:b/>
          <w:color w:val="auto"/>
          <w:sz w:val="24"/>
          <w:highlight w:val="none"/>
          <w:lang w:eastAsia="zh-CN"/>
        </w:rPr>
        <w:t>。</w:t>
      </w:r>
    </w:p>
    <w:p w14:paraId="58BFEEC3">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仿宋" w:hAnsi="仿宋" w:eastAsia="仿宋" w:cs="仿宋"/>
          <w:b/>
          <w:bCs/>
          <w:color w:val="auto"/>
          <w:highlight w:val="none"/>
        </w:rPr>
      </w:pPr>
      <w:r>
        <w:rPr>
          <w:rFonts w:hint="eastAsia" w:ascii="仿宋" w:hAnsi="仿宋" w:eastAsia="仿宋" w:cs="仿宋"/>
          <w:color w:val="auto"/>
          <w:sz w:val="24"/>
          <w:highlight w:val="none"/>
        </w:rPr>
        <w:t>评标工作将依据《中华人民共和国政府采购法》、《政府采购货物和服务招标投标管理办法》</w:t>
      </w:r>
      <w:r>
        <w:rPr>
          <w:rFonts w:hint="eastAsia" w:ascii="仿宋" w:hAnsi="仿宋" w:eastAsia="仿宋" w:cs="仿宋"/>
          <w:color w:val="auto"/>
          <w:sz w:val="24"/>
          <w:highlight w:val="none"/>
          <w:lang w:eastAsia="zh-CN"/>
        </w:rPr>
        <w:t>和医院有关采购文件</w:t>
      </w:r>
      <w:r>
        <w:rPr>
          <w:rFonts w:hint="eastAsia" w:ascii="仿宋" w:hAnsi="仿宋" w:eastAsia="仿宋" w:cs="仿宋"/>
          <w:color w:val="auto"/>
          <w:sz w:val="24"/>
          <w:highlight w:val="none"/>
        </w:rPr>
        <w:t>的规定进行，遵循“公开、公平、公正”和“诚实信用”的原则。评标委员会将按照规定对各投标人的投标文件采用相同的程序和标准进行评价和比较，对通过资格及符合性检查的各合格投标人根据以下标准和方法进行评估，评议过程严格按照招标文件的要求和条件进行。</w:t>
      </w:r>
      <w:r>
        <w:rPr>
          <w:rFonts w:hint="eastAsia" w:ascii="仿宋" w:hAnsi="仿宋" w:eastAsia="仿宋" w:cs="仿宋"/>
          <w:b/>
          <w:bCs/>
          <w:color w:val="auto"/>
          <w:sz w:val="24"/>
          <w:highlight w:val="none"/>
        </w:rPr>
        <w:t>本合同包采用综合评分法评标。若合格供应商不足三家，</w:t>
      </w:r>
      <w:r>
        <w:rPr>
          <w:rFonts w:hint="eastAsia" w:ascii="仿宋" w:hAnsi="仿宋" w:eastAsia="仿宋" w:cs="仿宋"/>
          <w:b/>
          <w:bCs/>
          <w:color w:val="auto"/>
          <w:sz w:val="24"/>
          <w:highlight w:val="none"/>
          <w:lang w:eastAsia="zh-CN"/>
        </w:rPr>
        <w:t>则本项目流标</w:t>
      </w:r>
      <w:r>
        <w:rPr>
          <w:rFonts w:hint="eastAsia" w:ascii="仿宋" w:hAnsi="仿宋" w:eastAsia="仿宋" w:cs="仿宋"/>
          <w:b/>
          <w:bCs/>
          <w:color w:val="auto"/>
          <w:sz w:val="24"/>
          <w:highlight w:val="none"/>
        </w:rPr>
        <w:t>。</w:t>
      </w:r>
    </w:p>
    <w:p w14:paraId="5A05843C">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both"/>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各部分评分分值分布如下：</w:t>
      </w:r>
    </w:p>
    <w:p w14:paraId="7EEA5D69">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A：报价部分评分           满分</w:t>
      </w: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分</w:t>
      </w:r>
    </w:p>
    <w:p w14:paraId="21F06165">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B：</w:t>
      </w:r>
      <w:r>
        <w:rPr>
          <w:rFonts w:hint="eastAsia" w:ascii="仿宋" w:hAnsi="仿宋" w:eastAsia="仿宋" w:cs="仿宋"/>
          <w:color w:val="auto"/>
          <w:sz w:val="24"/>
          <w:highlight w:val="none"/>
          <w:lang w:eastAsia="zh-CN"/>
        </w:rPr>
        <w:t>技术部分</w:t>
      </w:r>
      <w:r>
        <w:rPr>
          <w:rFonts w:hint="eastAsia" w:ascii="仿宋" w:hAnsi="仿宋" w:eastAsia="仿宋" w:cs="仿宋"/>
          <w:color w:val="auto"/>
          <w:sz w:val="24"/>
          <w:highlight w:val="none"/>
        </w:rPr>
        <w:t>评分           满分</w:t>
      </w:r>
      <w:r>
        <w:rPr>
          <w:rFonts w:hint="eastAsia" w:ascii="仿宋" w:hAnsi="仿宋" w:eastAsia="仿宋" w:cs="仿宋"/>
          <w:color w:val="auto"/>
          <w:sz w:val="24"/>
          <w:highlight w:val="none"/>
          <w:lang w:val="en-US" w:eastAsia="zh-CN"/>
        </w:rPr>
        <w:t>62</w:t>
      </w:r>
      <w:r>
        <w:rPr>
          <w:rFonts w:hint="eastAsia" w:ascii="仿宋" w:hAnsi="仿宋" w:eastAsia="仿宋" w:cs="仿宋"/>
          <w:color w:val="auto"/>
          <w:sz w:val="24"/>
          <w:highlight w:val="none"/>
        </w:rPr>
        <w:t>分</w:t>
      </w:r>
    </w:p>
    <w:p w14:paraId="609E8144">
      <w:pPr>
        <w:pStyle w:val="3"/>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jc w:val="both"/>
        <w:textAlignment w:val="auto"/>
        <w:rPr>
          <w:rFonts w:hint="eastAsia"/>
          <w:color w:val="auto"/>
        </w:rPr>
      </w:pPr>
      <w:r>
        <w:rPr>
          <w:rFonts w:hint="eastAsia" w:ascii="仿宋" w:hAnsi="仿宋" w:eastAsia="仿宋" w:cs="仿宋"/>
          <w:color w:val="auto"/>
          <w:sz w:val="24"/>
          <w:highlight w:val="none"/>
        </w:rPr>
        <w:t>C：商务部分评分           满分</w:t>
      </w:r>
      <w:r>
        <w:rPr>
          <w:rFonts w:hint="eastAsia" w:ascii="仿宋" w:hAnsi="仿宋" w:eastAsia="仿宋" w:cs="仿宋"/>
          <w:color w:val="auto"/>
          <w:sz w:val="24"/>
          <w:highlight w:val="none"/>
          <w:lang w:val="en-US" w:eastAsia="zh-CN"/>
        </w:rPr>
        <w:t>13</w:t>
      </w:r>
      <w:r>
        <w:rPr>
          <w:rFonts w:hint="eastAsia" w:ascii="仿宋" w:hAnsi="仿宋" w:eastAsia="仿宋" w:cs="仿宋"/>
          <w:color w:val="auto"/>
          <w:sz w:val="24"/>
          <w:highlight w:val="none"/>
        </w:rPr>
        <w:t>分</w:t>
      </w:r>
    </w:p>
    <w:p w14:paraId="1CE43089">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各评委评分B、C部分算术平均值为最终得分，并取小数点后的2位数。</w:t>
      </w:r>
    </w:p>
    <w:p w14:paraId="0F30FE71">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综合评分：A+B+C</w:t>
      </w:r>
    </w:p>
    <w:p w14:paraId="38666014">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both"/>
        <w:textAlignment w:val="auto"/>
        <w:rPr>
          <w:rFonts w:hint="eastAsia" w:ascii="仿宋" w:hAnsi="仿宋" w:eastAsia="仿宋" w:cs="仿宋"/>
          <w:b/>
          <w:color w:val="auto"/>
          <w:sz w:val="24"/>
          <w:highlight w:val="none"/>
        </w:rPr>
      </w:pP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报</w:t>
      </w:r>
      <w:r>
        <w:rPr>
          <w:rFonts w:hint="eastAsia" w:ascii="仿宋" w:hAnsi="仿宋" w:eastAsia="仿宋" w:cs="仿宋"/>
          <w:b/>
          <w:color w:val="auto"/>
          <w:sz w:val="24"/>
          <w:highlight w:val="none"/>
        </w:rPr>
        <w:t>价部分评分（A）：（满分</w:t>
      </w:r>
      <w:r>
        <w:rPr>
          <w:rFonts w:hint="eastAsia" w:ascii="仿宋" w:hAnsi="仿宋" w:eastAsia="仿宋" w:cs="仿宋"/>
          <w:b/>
          <w:color w:val="auto"/>
          <w:sz w:val="24"/>
          <w:highlight w:val="none"/>
          <w:lang w:val="en-US" w:eastAsia="zh-CN"/>
        </w:rPr>
        <w:t>25</w:t>
      </w:r>
      <w:r>
        <w:rPr>
          <w:rFonts w:hint="eastAsia" w:ascii="仿宋" w:hAnsi="仿宋" w:eastAsia="仿宋" w:cs="仿宋"/>
          <w:b/>
          <w:color w:val="auto"/>
          <w:sz w:val="24"/>
          <w:highlight w:val="none"/>
        </w:rPr>
        <w:t>分）</w:t>
      </w:r>
    </w:p>
    <w:p w14:paraId="49EF8800">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hint="default"/>
          <w:color w:val="auto"/>
          <w:lang w:val="en-US" w:eastAsia="zh-CN"/>
        </w:rPr>
      </w:pPr>
      <w:r>
        <w:rPr>
          <w:rFonts w:hint="eastAsia" w:ascii="仿宋" w:hAnsi="仿宋" w:eastAsia="仿宋" w:cs="仿宋"/>
          <w:color w:val="auto"/>
          <w:sz w:val="24"/>
          <w:szCs w:val="22"/>
          <w:highlight w:val="none"/>
        </w:rPr>
        <w:t>价格分采用低价优先法计算，即满足招标文件要求且投标价格最低的投标报价为评标基准价，其价格分为满分。其他投标人的价格分统一按照下列公式计算：投标报价得分=（评标基准价／投标报价）×100</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25分</w:t>
      </w:r>
      <w:r>
        <w:rPr>
          <w:rFonts w:hint="eastAsia" w:ascii="仿宋" w:hAnsi="仿宋" w:eastAsia="仿宋" w:cs="仿宋"/>
          <w:color w:val="auto"/>
          <w:sz w:val="24"/>
          <w:szCs w:val="22"/>
          <w:highlight w:val="none"/>
        </w:rPr>
        <w:t>。</w:t>
      </w:r>
    </w:p>
    <w:p w14:paraId="17DD0E8C">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both"/>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2.</w:t>
      </w:r>
      <w:r>
        <w:rPr>
          <w:rFonts w:hint="eastAsia" w:ascii="仿宋" w:hAnsi="仿宋" w:eastAsia="仿宋" w:cs="仿宋"/>
          <w:b/>
          <w:bCs/>
          <w:color w:val="auto"/>
          <w:sz w:val="24"/>
          <w:highlight w:val="none"/>
          <w:lang w:val="en-US" w:eastAsia="zh-CN"/>
        </w:rPr>
        <w:t>技术部分</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B</w:t>
      </w:r>
      <w:r>
        <w:rPr>
          <w:rFonts w:hint="eastAsia" w:ascii="仿宋" w:hAnsi="仿宋" w:eastAsia="仿宋" w:cs="仿宋"/>
          <w:b/>
          <w:color w:val="auto"/>
          <w:sz w:val="24"/>
          <w:highlight w:val="none"/>
        </w:rPr>
        <w:t>）：（满分</w:t>
      </w:r>
      <w:r>
        <w:rPr>
          <w:rFonts w:hint="eastAsia" w:ascii="仿宋" w:hAnsi="仿宋" w:eastAsia="仿宋" w:cs="仿宋"/>
          <w:b/>
          <w:color w:val="auto"/>
          <w:sz w:val="24"/>
          <w:highlight w:val="none"/>
          <w:lang w:val="en-US" w:eastAsia="zh-CN"/>
        </w:rPr>
        <w:t>62</w:t>
      </w:r>
      <w:r>
        <w:rPr>
          <w:rFonts w:hint="eastAsia" w:ascii="仿宋" w:hAnsi="仿宋" w:eastAsia="仿宋" w:cs="仿宋"/>
          <w:b/>
          <w:color w:val="auto"/>
          <w:sz w:val="24"/>
          <w:highlight w:val="none"/>
        </w:rPr>
        <w:t>分）</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5796"/>
        <w:gridCol w:w="1076"/>
      </w:tblGrid>
      <w:tr w14:paraId="43F49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992" w:type="dxa"/>
            <w:noWrap w:val="0"/>
            <w:vAlign w:val="center"/>
          </w:tcPr>
          <w:p w14:paraId="588B5C7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val="0"/>
                <w:color w:val="auto"/>
                <w:sz w:val="21"/>
                <w:szCs w:val="21"/>
                <w:highlight w:val="none"/>
                <w:lang w:eastAsia="zh-CN"/>
              </w:rPr>
            </w:pPr>
            <w:r>
              <w:rPr>
                <w:rFonts w:hint="eastAsia" w:ascii="仿宋" w:hAnsi="仿宋" w:eastAsia="仿宋" w:cs="仿宋"/>
                <w:b/>
                <w:bCs w:val="0"/>
                <w:color w:val="auto"/>
                <w:sz w:val="21"/>
                <w:szCs w:val="21"/>
                <w:highlight w:val="none"/>
                <w:lang w:eastAsia="zh-CN"/>
              </w:rPr>
              <w:t>项目</w:t>
            </w:r>
          </w:p>
        </w:tc>
        <w:tc>
          <w:tcPr>
            <w:tcW w:w="5796" w:type="dxa"/>
            <w:noWrap w:val="0"/>
            <w:vAlign w:val="center"/>
          </w:tcPr>
          <w:p w14:paraId="5B1B975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rPr>
              <w:t>投标人须提供的材料</w:t>
            </w:r>
          </w:p>
        </w:tc>
        <w:tc>
          <w:tcPr>
            <w:tcW w:w="1076" w:type="dxa"/>
            <w:noWrap w:val="0"/>
            <w:vAlign w:val="center"/>
          </w:tcPr>
          <w:p w14:paraId="56565CA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color w:val="auto"/>
                <w:sz w:val="21"/>
                <w:szCs w:val="21"/>
                <w:highlight w:val="none"/>
                <w:lang w:eastAsia="zh-CN"/>
              </w:rPr>
            </w:pPr>
            <w:r>
              <w:rPr>
                <w:rFonts w:hint="eastAsia" w:ascii="仿宋" w:hAnsi="仿宋" w:eastAsia="仿宋" w:cs="仿宋"/>
                <w:b/>
                <w:bCs w:val="0"/>
                <w:color w:val="auto"/>
                <w:sz w:val="21"/>
                <w:szCs w:val="21"/>
                <w:highlight w:val="none"/>
                <w:lang w:eastAsia="zh-CN"/>
              </w:rPr>
              <w:t>分值</w:t>
            </w:r>
          </w:p>
        </w:tc>
      </w:tr>
      <w:tr w14:paraId="31A1E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992" w:type="dxa"/>
            <w:noWrap w:val="0"/>
            <w:vAlign w:val="center"/>
          </w:tcPr>
          <w:p w14:paraId="799FEE4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val="0"/>
                <w:color w:val="auto"/>
                <w:sz w:val="21"/>
                <w:szCs w:val="21"/>
                <w:highlight w:val="none"/>
                <w:lang w:eastAsia="zh-CN"/>
              </w:rPr>
            </w:pPr>
            <w:r>
              <w:rPr>
                <w:rFonts w:hint="eastAsia" w:ascii="仿宋" w:hAnsi="仿宋" w:eastAsia="仿宋" w:cs="仿宋"/>
                <w:b/>
                <w:bCs w:val="0"/>
                <w:color w:val="auto"/>
                <w:sz w:val="21"/>
                <w:szCs w:val="21"/>
                <w:highlight w:val="none"/>
                <w:lang w:val="en-US" w:eastAsia="zh-CN"/>
              </w:rPr>
              <w:t>响应情况</w:t>
            </w:r>
          </w:p>
        </w:tc>
        <w:tc>
          <w:tcPr>
            <w:tcW w:w="5796" w:type="dxa"/>
            <w:noWrap w:val="0"/>
            <w:vAlign w:val="center"/>
          </w:tcPr>
          <w:p w14:paraId="6A71DE38">
            <w:pPr>
              <w:pStyle w:val="4"/>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b/>
                <w:bCs w:val="0"/>
                <w:color w:val="auto"/>
                <w:sz w:val="21"/>
                <w:szCs w:val="21"/>
                <w:highlight w:val="none"/>
              </w:rPr>
            </w:pPr>
            <w:r>
              <w:rPr>
                <w:rFonts w:hint="eastAsia" w:ascii="仿宋" w:hAnsi="仿宋" w:eastAsia="仿宋" w:cs="仿宋"/>
                <w:color w:val="auto"/>
                <w:kern w:val="2"/>
                <w:sz w:val="21"/>
                <w:szCs w:val="21"/>
                <w:highlight w:val="none"/>
                <w:lang w:val="en-US" w:eastAsia="zh-CN" w:bidi="ar-SA"/>
              </w:rPr>
              <w:t>评标委员会根据各投标人提供的服务要求响应偏离情况，参照招标文件中第三部分招标内容及要求等对投标人服务要求的条款进行评议，完全满足招标文件第三部分“技术和服务要求”的得22分，每负偏离一项扣2分（共11项），标注“★”号的参数为实质性要求，出现负偏离视为投标无效，正偏离不加分。</w:t>
            </w:r>
          </w:p>
        </w:tc>
        <w:tc>
          <w:tcPr>
            <w:tcW w:w="1076" w:type="dxa"/>
            <w:noWrap w:val="0"/>
            <w:vAlign w:val="center"/>
          </w:tcPr>
          <w:p w14:paraId="4FAEBE8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22</w:t>
            </w:r>
          </w:p>
        </w:tc>
      </w:tr>
      <w:tr w14:paraId="3A53F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92" w:type="dxa"/>
            <w:noWrap w:val="0"/>
            <w:vAlign w:val="center"/>
          </w:tcPr>
          <w:p w14:paraId="54059957">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bCs w:val="0"/>
                <w:color w:val="auto"/>
                <w:kern w:val="0"/>
                <w:sz w:val="21"/>
                <w:szCs w:val="21"/>
                <w:lang w:val="en-US" w:eastAsia="zh-CN" w:bidi="ar"/>
              </w:rPr>
            </w:pPr>
            <w:r>
              <w:rPr>
                <w:rFonts w:hint="eastAsia" w:ascii="仿宋" w:hAnsi="仿宋" w:eastAsia="仿宋" w:cs="仿宋"/>
                <w:b/>
                <w:bCs w:val="0"/>
                <w:color w:val="auto"/>
                <w:kern w:val="0"/>
                <w:sz w:val="21"/>
                <w:szCs w:val="21"/>
                <w:lang w:val="en-US" w:eastAsia="zh-CN" w:bidi="ar"/>
              </w:rPr>
              <w:t>项目实施计划方案</w:t>
            </w:r>
          </w:p>
        </w:tc>
        <w:tc>
          <w:tcPr>
            <w:tcW w:w="5796" w:type="dxa"/>
            <w:noWrap w:val="0"/>
            <w:vAlign w:val="center"/>
          </w:tcPr>
          <w:p w14:paraId="29E930E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根据投标人提供的项目实施方案的工作内容、工作方法、工作流程、实施要点等情况，由评标小组进行横向评议，方案齐全、详细、针对性强的得15分；方案要点齐全、有针对性的得10分；方案简要、粗糙的得5分；未提供方案或方案与培训项目不相关的不得分。满分15分。</w:t>
            </w:r>
          </w:p>
        </w:tc>
        <w:tc>
          <w:tcPr>
            <w:tcW w:w="1076" w:type="dxa"/>
            <w:noWrap w:val="0"/>
            <w:vAlign w:val="center"/>
          </w:tcPr>
          <w:p w14:paraId="0686053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15</w:t>
            </w:r>
          </w:p>
        </w:tc>
      </w:tr>
      <w:tr w14:paraId="77EC3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992" w:type="dxa"/>
            <w:noWrap w:val="0"/>
            <w:vAlign w:val="center"/>
          </w:tcPr>
          <w:p w14:paraId="2C35CD71">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bCs/>
                <w:color w:val="auto"/>
                <w:spacing w:val="-12"/>
                <w:sz w:val="21"/>
                <w:szCs w:val="21"/>
              </w:rPr>
              <w:t>项目组负责人资质</w:t>
            </w:r>
          </w:p>
        </w:tc>
        <w:tc>
          <w:tcPr>
            <w:tcW w:w="5796" w:type="dxa"/>
            <w:noWrap w:val="0"/>
            <w:vAlign w:val="center"/>
          </w:tcPr>
          <w:p w14:paraId="5C84697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根据投标人提供的项目负责人的从业经历、主审项目等情况打分。</w:t>
            </w:r>
          </w:p>
          <w:p w14:paraId="1AFAE19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1.取得注册会计师执业资格证书满5年（含）的得1分，每增加1年加1分，本项最高得5分。</w:t>
            </w:r>
          </w:p>
          <w:p w14:paraId="2FDBAB4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2.取得注册税务师资格证书的加2分。</w:t>
            </w:r>
          </w:p>
          <w:p w14:paraId="116B7F4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3.2020-2024年担任经济责任审计、财务收支审计、专项审计、资产清查或财务竣工决算审计项目，每个项目加0.5分，本项最高得3分。</w:t>
            </w:r>
          </w:p>
          <w:p w14:paraId="6756008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（投标人提供项目负责人相关资格证书复印件；项目负责人分年度主审项目清单及审计合同复印件），满分10分。</w:t>
            </w:r>
          </w:p>
        </w:tc>
        <w:tc>
          <w:tcPr>
            <w:tcW w:w="1076" w:type="dxa"/>
            <w:noWrap w:val="0"/>
            <w:vAlign w:val="center"/>
          </w:tcPr>
          <w:p w14:paraId="13C2D82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10</w:t>
            </w:r>
          </w:p>
        </w:tc>
      </w:tr>
      <w:tr w14:paraId="71D9F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992" w:type="dxa"/>
            <w:noWrap w:val="0"/>
            <w:vAlign w:val="center"/>
          </w:tcPr>
          <w:p w14:paraId="441A9027">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color w:val="auto"/>
                <w:sz w:val="21"/>
                <w:szCs w:val="21"/>
              </w:rPr>
              <w:t>项目组成员</w:t>
            </w:r>
          </w:p>
        </w:tc>
        <w:tc>
          <w:tcPr>
            <w:tcW w:w="5796" w:type="dxa"/>
            <w:noWrap w:val="0"/>
            <w:vAlign w:val="center"/>
          </w:tcPr>
          <w:p w14:paraId="3A0CFA6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投标人承诺项目组成员不少于3人，应具有一定工作经验；其中注册会计师不得少于1人，其余人员应具有会计、审计等相关专业中级职称，符合条件得10分，不符合不得分。</w:t>
            </w:r>
          </w:p>
          <w:p w14:paraId="743D58C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提供审计小组人员配备表（注明人员的姓名、执业资格证书编号或职称证书编号），并附上个人有效证件（注册会计师执业资格证书或职称证书复印件、劳动关系证明），满分10分。</w:t>
            </w:r>
          </w:p>
        </w:tc>
        <w:tc>
          <w:tcPr>
            <w:tcW w:w="1076" w:type="dxa"/>
            <w:noWrap w:val="0"/>
            <w:vAlign w:val="center"/>
          </w:tcPr>
          <w:p w14:paraId="23A15A8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10</w:t>
            </w:r>
          </w:p>
        </w:tc>
      </w:tr>
      <w:tr w14:paraId="5C332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992" w:type="dxa"/>
            <w:noWrap w:val="0"/>
            <w:vAlign w:val="center"/>
          </w:tcPr>
          <w:p w14:paraId="4BBABA88">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color w:val="auto"/>
                <w:sz w:val="21"/>
                <w:szCs w:val="21"/>
                <w:highlight w:val="none"/>
                <w:lang w:val="en-US" w:eastAsia="zh-CN"/>
              </w:rPr>
            </w:pPr>
            <w:r>
              <w:rPr>
                <w:rFonts w:hint="eastAsia" w:ascii="仿宋" w:hAnsi="仿宋" w:eastAsia="仿宋" w:cs="仿宋"/>
                <w:b/>
                <w:bCs/>
                <w:color w:val="auto"/>
                <w:sz w:val="21"/>
                <w:szCs w:val="21"/>
                <w:lang w:val="en-US" w:eastAsia="zh-CN"/>
              </w:rPr>
              <w:t>从业年限</w:t>
            </w:r>
          </w:p>
        </w:tc>
        <w:tc>
          <w:tcPr>
            <w:tcW w:w="5796" w:type="dxa"/>
            <w:noWrap w:val="0"/>
            <w:vAlign w:val="top"/>
          </w:tcPr>
          <w:p w14:paraId="2E7FDC29">
            <w:pPr>
              <w:pStyle w:val="5"/>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投标人的审计咨询业务从业年限满5年的得3分，每增加一年加1分。满分5分。未提供或从业年限未满5年不得分（须提供营业执照复印件等，且提供的营业执照必须具有审计咨询资质）。</w:t>
            </w:r>
          </w:p>
        </w:tc>
        <w:tc>
          <w:tcPr>
            <w:tcW w:w="1076" w:type="dxa"/>
            <w:noWrap w:val="0"/>
            <w:vAlign w:val="center"/>
          </w:tcPr>
          <w:p w14:paraId="6D02DFF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5</w:t>
            </w:r>
          </w:p>
        </w:tc>
      </w:tr>
    </w:tbl>
    <w:p w14:paraId="24D5D077">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both"/>
        <w:textAlignment w:val="auto"/>
        <w:rPr>
          <w:rFonts w:hint="eastAsia" w:ascii="仿宋" w:hAnsi="仿宋" w:eastAsia="仿宋" w:cs="仿宋"/>
          <w:b/>
          <w:color w:val="auto"/>
          <w:sz w:val="24"/>
          <w:highlight w:val="none"/>
        </w:rPr>
      </w:pPr>
      <w:r>
        <w:rPr>
          <w:rFonts w:hint="eastAsia" w:ascii="仿宋" w:hAnsi="仿宋" w:eastAsia="仿宋" w:cs="仿宋"/>
          <w:b/>
          <w:bCs/>
          <w:color w:val="auto"/>
          <w:sz w:val="24"/>
          <w:highlight w:val="none"/>
          <w:lang w:val="en-US" w:eastAsia="zh-CN"/>
        </w:rPr>
        <w:t>2.商务部分</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C</w:t>
      </w:r>
      <w:r>
        <w:rPr>
          <w:rFonts w:hint="eastAsia" w:ascii="仿宋" w:hAnsi="仿宋" w:eastAsia="仿宋" w:cs="仿宋"/>
          <w:b/>
          <w:color w:val="auto"/>
          <w:sz w:val="24"/>
          <w:highlight w:val="none"/>
        </w:rPr>
        <w:t>）：（满分</w:t>
      </w:r>
      <w:r>
        <w:rPr>
          <w:rFonts w:hint="eastAsia" w:ascii="仿宋" w:hAnsi="仿宋" w:eastAsia="仿宋" w:cs="仿宋"/>
          <w:b/>
          <w:color w:val="auto"/>
          <w:sz w:val="24"/>
          <w:highlight w:val="none"/>
          <w:lang w:val="en-US" w:eastAsia="zh-CN"/>
        </w:rPr>
        <w:t>13</w:t>
      </w:r>
      <w:r>
        <w:rPr>
          <w:rFonts w:hint="eastAsia" w:ascii="仿宋" w:hAnsi="仿宋" w:eastAsia="仿宋" w:cs="仿宋"/>
          <w:b/>
          <w:color w:val="auto"/>
          <w:sz w:val="24"/>
          <w:highlight w:val="none"/>
        </w:rPr>
        <w:t>分）</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5799"/>
        <w:gridCol w:w="1115"/>
      </w:tblGrid>
      <w:tr w14:paraId="2BF4B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92" w:type="dxa"/>
            <w:noWrap w:val="0"/>
            <w:vAlign w:val="center"/>
          </w:tcPr>
          <w:p w14:paraId="55F0D1B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val="0"/>
                <w:color w:val="auto"/>
                <w:sz w:val="21"/>
                <w:szCs w:val="21"/>
                <w:highlight w:val="none"/>
                <w:lang w:eastAsia="zh-CN"/>
              </w:rPr>
            </w:pPr>
            <w:r>
              <w:rPr>
                <w:rFonts w:hint="eastAsia" w:ascii="仿宋" w:hAnsi="仿宋" w:eastAsia="仿宋" w:cs="仿宋"/>
                <w:b/>
                <w:bCs w:val="0"/>
                <w:color w:val="auto"/>
                <w:sz w:val="21"/>
                <w:szCs w:val="21"/>
                <w:highlight w:val="none"/>
                <w:lang w:eastAsia="zh-CN"/>
              </w:rPr>
              <w:t>项目</w:t>
            </w:r>
          </w:p>
        </w:tc>
        <w:tc>
          <w:tcPr>
            <w:tcW w:w="5799" w:type="dxa"/>
            <w:noWrap w:val="0"/>
            <w:vAlign w:val="center"/>
          </w:tcPr>
          <w:p w14:paraId="049F695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rPr>
              <w:t>投标人须提供的材料</w:t>
            </w:r>
          </w:p>
        </w:tc>
        <w:tc>
          <w:tcPr>
            <w:tcW w:w="1115" w:type="dxa"/>
            <w:noWrap w:val="0"/>
            <w:vAlign w:val="center"/>
          </w:tcPr>
          <w:p w14:paraId="738BE17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color w:val="auto"/>
                <w:sz w:val="21"/>
                <w:szCs w:val="21"/>
                <w:highlight w:val="none"/>
                <w:lang w:eastAsia="zh-CN"/>
              </w:rPr>
            </w:pPr>
            <w:r>
              <w:rPr>
                <w:rFonts w:hint="eastAsia" w:ascii="仿宋" w:hAnsi="仿宋" w:eastAsia="仿宋" w:cs="仿宋"/>
                <w:b/>
                <w:bCs w:val="0"/>
                <w:color w:val="auto"/>
                <w:sz w:val="21"/>
                <w:szCs w:val="21"/>
                <w:highlight w:val="none"/>
                <w:lang w:eastAsia="zh-CN"/>
              </w:rPr>
              <w:t>分值</w:t>
            </w:r>
          </w:p>
        </w:tc>
      </w:tr>
      <w:tr w14:paraId="4E6BB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992" w:type="dxa"/>
            <w:noWrap w:val="0"/>
            <w:vAlign w:val="center"/>
          </w:tcPr>
          <w:p w14:paraId="0F5FD40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auto"/>
                <w:kern w:val="0"/>
                <w:sz w:val="21"/>
                <w:szCs w:val="21"/>
                <w:lang w:val="en-US" w:eastAsia="zh-CN" w:bidi="ar"/>
              </w:rPr>
            </w:pPr>
            <w:r>
              <w:rPr>
                <w:rFonts w:hint="eastAsia" w:ascii="仿宋" w:hAnsi="仿宋" w:eastAsia="仿宋" w:cs="仿宋"/>
                <w:b/>
                <w:bCs/>
                <w:color w:val="auto"/>
                <w:sz w:val="21"/>
                <w:szCs w:val="21"/>
                <w:lang w:val="en-US" w:eastAsia="zh-CN"/>
              </w:rPr>
              <w:t>业绩</w:t>
            </w:r>
          </w:p>
        </w:tc>
        <w:tc>
          <w:tcPr>
            <w:tcW w:w="5799" w:type="dxa"/>
            <w:noWrap w:val="0"/>
            <w:vAlign w:val="center"/>
          </w:tcPr>
          <w:p w14:paraId="3D2B081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2021年1月1日以来承担过本省内医院内部控制专项审计经验的并提供样板报告的得7分，未承担过省内医院内部控制审计不得分。投标人提供2021年1月1日至今（日期以正式审计报告为准）省内医院内部控制审计报告，被审计单位涉密部分可遮掩。满分7分。</w:t>
            </w:r>
          </w:p>
        </w:tc>
        <w:tc>
          <w:tcPr>
            <w:tcW w:w="1115" w:type="dxa"/>
            <w:noWrap w:val="0"/>
            <w:vAlign w:val="center"/>
          </w:tcPr>
          <w:p w14:paraId="001B702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7</w:t>
            </w:r>
          </w:p>
        </w:tc>
      </w:tr>
      <w:tr w14:paraId="31B58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92" w:type="dxa"/>
            <w:noWrap w:val="0"/>
            <w:vAlign w:val="center"/>
          </w:tcPr>
          <w:p w14:paraId="6EEED27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auto"/>
                <w:kern w:val="0"/>
                <w:sz w:val="21"/>
                <w:szCs w:val="21"/>
                <w:lang w:val="en-US" w:eastAsia="zh-CN" w:bidi="ar"/>
              </w:rPr>
            </w:pPr>
            <w:r>
              <w:rPr>
                <w:rFonts w:hint="eastAsia" w:ascii="仿宋" w:hAnsi="仿宋" w:eastAsia="仿宋" w:cs="仿宋"/>
                <w:b/>
                <w:bCs/>
                <w:color w:val="auto"/>
                <w:sz w:val="21"/>
                <w:szCs w:val="21"/>
                <w:lang w:val="en-US" w:eastAsia="zh-CN"/>
              </w:rPr>
              <w:t>服务满意度</w:t>
            </w:r>
          </w:p>
        </w:tc>
        <w:tc>
          <w:tcPr>
            <w:tcW w:w="5799" w:type="dxa"/>
            <w:noWrap w:val="0"/>
            <w:vAlign w:val="top"/>
          </w:tcPr>
          <w:p w14:paraId="073A940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据各投标人所提供近三年（至投标截止时间）医院内部控制专项审计的满意度证明材料进行打分，每提供一份被服务对象的满意度评价证明文件（良好或者90分以上）得2分，满分6分。合同履行过程中发现本项有虚假者，取消其中标资格，并追究相应的法律责任和进行相应的赔偿。满分6分。</w:t>
            </w:r>
          </w:p>
        </w:tc>
        <w:tc>
          <w:tcPr>
            <w:tcW w:w="1115" w:type="dxa"/>
            <w:noWrap w:val="0"/>
            <w:vAlign w:val="center"/>
          </w:tcPr>
          <w:p w14:paraId="2D5C0AD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6</w:t>
            </w:r>
          </w:p>
        </w:tc>
      </w:tr>
    </w:tbl>
    <w:p w14:paraId="178BAE6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0" w:firstLineChars="20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价格部分、技术部分</w:t>
      </w:r>
      <w:r>
        <w:rPr>
          <w:rFonts w:hint="eastAsia" w:ascii="仿宋" w:hAnsi="仿宋" w:eastAsia="仿宋" w:cs="仿宋"/>
          <w:color w:val="auto"/>
          <w:sz w:val="24"/>
          <w:highlight w:val="none"/>
        </w:rPr>
        <w:t>和商务部分得分总和最高者（A+B+</w:t>
      </w:r>
      <w:r>
        <w:rPr>
          <w:rFonts w:hint="eastAsia" w:ascii="仿宋" w:hAnsi="仿宋" w:eastAsia="仿宋" w:cs="仿宋"/>
          <w:color w:val="auto"/>
          <w:sz w:val="24"/>
          <w:highlight w:val="none"/>
          <w:lang w:val="en-US" w:eastAsia="zh-CN"/>
        </w:rPr>
        <w:t>C</w:t>
      </w:r>
      <w:r>
        <w:rPr>
          <w:rFonts w:hint="eastAsia" w:ascii="仿宋" w:hAnsi="仿宋" w:eastAsia="仿宋" w:cs="仿宋"/>
          <w:color w:val="auto"/>
          <w:sz w:val="24"/>
          <w:highlight w:val="none"/>
        </w:rPr>
        <w:t>）为推荐中标供应商。</w:t>
      </w:r>
    </w:p>
    <w:p w14:paraId="3FC4088D">
      <w:pPr>
        <w:keepNext w:val="0"/>
        <w:keepLines w:val="0"/>
        <w:pageBreakBefore w:val="0"/>
        <w:widowControl w:val="0"/>
        <w:kinsoku/>
        <w:wordWrap/>
        <w:overflowPunct/>
        <w:topLinePunct w:val="0"/>
        <w:autoSpaceDE/>
        <w:autoSpaceDN/>
        <w:bidi w:val="0"/>
        <w:adjustRightInd/>
        <w:snapToGrid/>
        <w:spacing w:line="380" w:lineRule="exact"/>
        <w:ind w:firstLine="482" w:firstLineChars="200"/>
        <w:jc w:val="both"/>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四</w:t>
      </w:r>
      <w:r>
        <w:rPr>
          <w:rFonts w:hint="eastAsia" w:ascii="仿宋" w:hAnsi="仿宋" w:eastAsia="仿宋" w:cs="仿宋"/>
          <w:b/>
          <w:bCs/>
          <w:color w:val="auto"/>
          <w:sz w:val="24"/>
          <w:highlight w:val="none"/>
        </w:rPr>
        <w:t>、定标原则</w:t>
      </w:r>
    </w:p>
    <w:p w14:paraId="10FBD5CB">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both"/>
        <w:textAlignment w:val="auto"/>
        <w:rPr>
          <w:rFonts w:ascii="Arial" w:hAnsi="Arial" w:eastAsia="Arial" w:cs="Arial"/>
          <w:color w:val="auto"/>
          <w:sz w:val="21"/>
          <w:szCs w:val="21"/>
        </w:rPr>
        <w:sectPr>
          <w:footerReference r:id="rId8" w:type="default"/>
          <w:pgSz w:w="11906" w:h="16838"/>
          <w:pgMar w:top="1701" w:right="1474" w:bottom="1417" w:left="1474" w:header="0" w:footer="1072" w:gutter="0"/>
          <w:pgNumType w:fmt="decimal"/>
          <w:cols w:space="720" w:num="1"/>
        </w:sectPr>
      </w:pPr>
      <w:r>
        <w:rPr>
          <w:rFonts w:hint="eastAsia" w:ascii="仿宋" w:hAnsi="仿宋" w:eastAsia="仿宋" w:cs="仿宋"/>
          <w:color w:val="auto"/>
          <w:sz w:val="24"/>
          <w:highlight w:val="none"/>
        </w:rPr>
        <w:t>评标委员会将对通过资格及符合性检查的各合格投标人根据以上标准和方法进行评估。评分将按</w:t>
      </w:r>
      <w:r>
        <w:rPr>
          <w:rFonts w:hint="eastAsia" w:ascii="仿宋" w:hAnsi="仿宋" w:eastAsia="仿宋" w:cs="仿宋"/>
          <w:color w:val="auto"/>
          <w:sz w:val="24"/>
          <w:highlight w:val="none"/>
          <w:lang w:eastAsia="zh-CN"/>
        </w:rPr>
        <w:t>技术部分</w:t>
      </w:r>
      <w:r>
        <w:rPr>
          <w:rFonts w:hint="eastAsia" w:ascii="仿宋" w:hAnsi="仿宋" w:eastAsia="仿宋" w:cs="仿宋"/>
          <w:color w:val="auto"/>
          <w:sz w:val="24"/>
          <w:highlight w:val="none"/>
        </w:rPr>
        <w:t>、商务部分分别进行，计算出各合格投标人的综合得分。评委会按最终评标得分由高到低顺序推荐一名中标候选人。若有相同的最高得分，则其中投标总价</w:t>
      </w:r>
      <w:r>
        <w:rPr>
          <w:rFonts w:hint="eastAsia" w:ascii="仿宋" w:hAnsi="仿宋" w:eastAsia="仿宋" w:cs="仿宋"/>
          <w:b/>
          <w:bCs/>
          <w:color w:val="auto"/>
          <w:sz w:val="24"/>
          <w:highlight w:val="none"/>
          <w:u w:val="single"/>
        </w:rPr>
        <w:t>低</w:t>
      </w:r>
      <w:r>
        <w:rPr>
          <w:rFonts w:hint="eastAsia" w:ascii="仿宋" w:hAnsi="仿宋" w:eastAsia="仿宋" w:cs="仿宋"/>
          <w:color w:val="auto"/>
          <w:sz w:val="24"/>
          <w:highlight w:val="none"/>
        </w:rPr>
        <w:t>的投标人将被顺序在前；若有相同的最高得分且投标报价相同的，则</w:t>
      </w:r>
      <w:r>
        <w:rPr>
          <w:rFonts w:hint="eastAsia" w:ascii="仿宋" w:hAnsi="仿宋" w:eastAsia="仿宋" w:cs="仿宋"/>
          <w:color w:val="auto"/>
          <w:sz w:val="24"/>
          <w:highlight w:val="none"/>
          <w:lang w:eastAsia="zh-CN"/>
        </w:rPr>
        <w:t>技术部分</w:t>
      </w:r>
      <w:r>
        <w:rPr>
          <w:rFonts w:hint="eastAsia" w:ascii="仿宋" w:hAnsi="仿宋" w:eastAsia="仿宋" w:cs="仿宋"/>
          <w:color w:val="auto"/>
          <w:sz w:val="24"/>
          <w:highlight w:val="none"/>
        </w:rPr>
        <w:t>得分从高到低顺序进行排列，</w:t>
      </w:r>
      <w:r>
        <w:rPr>
          <w:rFonts w:hint="eastAsia" w:ascii="仿宋" w:hAnsi="仿宋" w:eastAsia="仿宋" w:cs="仿宋"/>
          <w:color w:val="auto"/>
          <w:sz w:val="24"/>
          <w:highlight w:val="none"/>
          <w:lang w:eastAsia="zh-CN"/>
        </w:rPr>
        <w:t>技术部分</w:t>
      </w:r>
      <w:r>
        <w:rPr>
          <w:rFonts w:hint="eastAsia" w:ascii="仿宋" w:hAnsi="仿宋" w:eastAsia="仿宋" w:cs="仿宋"/>
          <w:color w:val="auto"/>
          <w:sz w:val="24"/>
          <w:highlight w:val="none"/>
        </w:rPr>
        <w:t>得分最高的投标人将被排序在前。</w:t>
      </w:r>
    </w:p>
    <w:p w14:paraId="53BF7D9A">
      <w:pPr>
        <w:spacing w:before="113" w:line="228" w:lineRule="auto"/>
        <w:jc w:val="center"/>
        <w:outlineLvl w:val="0"/>
        <w:rPr>
          <w:rFonts w:ascii="仿宋" w:hAnsi="仿宋" w:eastAsia="仿宋" w:cs="仿宋"/>
          <w:color w:val="auto"/>
          <w:sz w:val="35"/>
          <w:szCs w:val="35"/>
        </w:rPr>
      </w:pPr>
      <w:r>
        <w:rPr>
          <w:rFonts w:ascii="仿宋" w:hAnsi="仿宋" w:eastAsia="仿宋" w:cs="仿宋"/>
          <w:b/>
          <w:bCs/>
          <w:color w:val="auto"/>
          <w:spacing w:val="4"/>
          <w:sz w:val="35"/>
          <w:szCs w:val="35"/>
        </w:rPr>
        <w:t>第</w:t>
      </w:r>
      <w:r>
        <w:rPr>
          <w:rFonts w:hint="eastAsia" w:ascii="仿宋" w:hAnsi="仿宋" w:eastAsia="仿宋" w:cs="仿宋"/>
          <w:b/>
          <w:bCs/>
          <w:color w:val="auto"/>
          <w:spacing w:val="4"/>
          <w:sz w:val="35"/>
          <w:szCs w:val="35"/>
          <w:lang w:val="en-US" w:eastAsia="zh-CN"/>
        </w:rPr>
        <w:t>三</w:t>
      </w:r>
      <w:r>
        <w:rPr>
          <w:rFonts w:ascii="仿宋" w:hAnsi="仿宋" w:eastAsia="仿宋" w:cs="仿宋"/>
          <w:b/>
          <w:bCs/>
          <w:color w:val="auto"/>
          <w:spacing w:val="4"/>
          <w:sz w:val="35"/>
          <w:szCs w:val="35"/>
        </w:rPr>
        <w:t>部分</w:t>
      </w:r>
      <w:r>
        <w:rPr>
          <w:rFonts w:ascii="仿宋" w:hAnsi="仿宋" w:eastAsia="仿宋" w:cs="仿宋"/>
          <w:color w:val="auto"/>
          <w:spacing w:val="4"/>
          <w:sz w:val="35"/>
          <w:szCs w:val="35"/>
        </w:rPr>
        <w:t xml:space="preserve"> </w:t>
      </w:r>
      <w:r>
        <w:rPr>
          <w:rFonts w:hint="eastAsia" w:ascii="仿宋" w:hAnsi="仿宋" w:eastAsia="仿宋" w:cs="仿宋"/>
          <w:b/>
          <w:bCs/>
          <w:color w:val="auto"/>
          <w:spacing w:val="4"/>
          <w:sz w:val="35"/>
          <w:szCs w:val="35"/>
          <w:lang w:eastAsia="zh-CN"/>
        </w:rPr>
        <w:t>招标</w:t>
      </w:r>
      <w:r>
        <w:rPr>
          <w:rFonts w:ascii="仿宋" w:hAnsi="仿宋" w:eastAsia="仿宋" w:cs="仿宋"/>
          <w:b/>
          <w:bCs/>
          <w:color w:val="auto"/>
          <w:spacing w:val="4"/>
          <w:sz w:val="35"/>
          <w:szCs w:val="35"/>
        </w:rPr>
        <w:t>内容和技术参数</w:t>
      </w:r>
    </w:p>
    <w:p w14:paraId="04D1EBAB">
      <w:pPr>
        <w:spacing w:line="266" w:lineRule="auto"/>
        <w:rPr>
          <w:rFonts w:ascii="Arial"/>
          <w:color w:val="auto"/>
          <w:sz w:val="21"/>
        </w:rPr>
      </w:pPr>
    </w:p>
    <w:p w14:paraId="15839F5D">
      <w:pPr>
        <w:spacing w:line="267" w:lineRule="auto"/>
        <w:rPr>
          <w:rFonts w:ascii="Arial"/>
          <w:color w:val="auto"/>
          <w:sz w:val="21"/>
        </w:rPr>
      </w:pPr>
    </w:p>
    <w:p w14:paraId="7FDDDEB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firstLine="538" w:firstLineChars="200"/>
        <w:jc w:val="both"/>
        <w:textAlignment w:val="baseline"/>
        <w:rPr>
          <w:rFonts w:hint="eastAsia" w:ascii="仿宋" w:hAnsi="仿宋" w:eastAsia="仿宋" w:cs="仿宋"/>
          <w:color w:val="auto"/>
          <w:sz w:val="28"/>
          <w:szCs w:val="28"/>
        </w:rPr>
      </w:pPr>
      <w:r>
        <w:rPr>
          <w:rFonts w:hint="eastAsia" w:ascii="仿宋" w:hAnsi="仿宋" w:eastAsia="仿宋" w:cs="仿宋"/>
          <w:b/>
          <w:bCs/>
          <w:color w:val="auto"/>
          <w:spacing w:val="-6"/>
          <w:sz w:val="28"/>
          <w:szCs w:val="28"/>
          <w:lang w:val="en-US" w:eastAsia="zh-CN"/>
        </w:rPr>
        <w:t>一、</w:t>
      </w:r>
      <w:r>
        <w:rPr>
          <w:rFonts w:hint="eastAsia" w:ascii="仿宋" w:hAnsi="仿宋" w:eastAsia="仿宋" w:cs="仿宋"/>
          <w:b/>
          <w:bCs/>
          <w:color w:val="auto"/>
          <w:spacing w:val="-6"/>
          <w:sz w:val="28"/>
          <w:szCs w:val="28"/>
        </w:rPr>
        <w:t>项目概况</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4545"/>
        <w:gridCol w:w="1155"/>
        <w:gridCol w:w="1168"/>
      </w:tblGrid>
      <w:tr w14:paraId="09074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785" w:type="dxa"/>
            <w:noWrap w:val="0"/>
            <w:vAlign w:val="top"/>
          </w:tcPr>
          <w:p w14:paraId="1E974DAF">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合同包</w:t>
            </w:r>
          </w:p>
        </w:tc>
        <w:tc>
          <w:tcPr>
            <w:tcW w:w="4545" w:type="dxa"/>
            <w:noWrap w:val="0"/>
            <w:vAlign w:val="top"/>
          </w:tcPr>
          <w:p w14:paraId="214F5171">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服务内容</w:t>
            </w:r>
          </w:p>
        </w:tc>
        <w:tc>
          <w:tcPr>
            <w:tcW w:w="1155" w:type="dxa"/>
            <w:noWrap w:val="0"/>
            <w:vAlign w:val="top"/>
          </w:tcPr>
          <w:p w14:paraId="489E41A4">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数量</w:t>
            </w:r>
          </w:p>
        </w:tc>
        <w:tc>
          <w:tcPr>
            <w:tcW w:w="1168" w:type="dxa"/>
            <w:noWrap w:val="0"/>
            <w:vAlign w:val="top"/>
          </w:tcPr>
          <w:p w14:paraId="1C315DC3">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单位</w:t>
            </w:r>
          </w:p>
        </w:tc>
      </w:tr>
      <w:tr w14:paraId="04C6E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785" w:type="dxa"/>
            <w:noWrap w:val="0"/>
            <w:vAlign w:val="center"/>
          </w:tcPr>
          <w:p w14:paraId="791802A0">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1</w:t>
            </w:r>
          </w:p>
        </w:tc>
        <w:tc>
          <w:tcPr>
            <w:tcW w:w="4545" w:type="dxa"/>
            <w:noWrap w:val="0"/>
            <w:vAlign w:val="center"/>
          </w:tcPr>
          <w:p w14:paraId="2D777DD6">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内部控制审计</w:t>
            </w:r>
            <w:r>
              <w:rPr>
                <w:rFonts w:hint="eastAsia" w:ascii="仿宋" w:hAnsi="仿宋" w:eastAsia="仿宋" w:cs="仿宋"/>
                <w:color w:val="auto"/>
                <w:sz w:val="28"/>
                <w:szCs w:val="28"/>
                <w:shd w:val="clear" w:color="auto" w:fill="FFFFFF"/>
                <w:lang w:val="en-US" w:eastAsia="zh-CN"/>
              </w:rPr>
              <w:t>专项</w:t>
            </w:r>
            <w:r>
              <w:rPr>
                <w:rFonts w:hint="eastAsia" w:ascii="仿宋" w:hAnsi="仿宋" w:eastAsia="仿宋" w:cs="仿宋"/>
                <w:color w:val="auto"/>
                <w:sz w:val="28"/>
                <w:szCs w:val="28"/>
                <w:shd w:val="clear" w:color="auto" w:fill="FFFFFF"/>
              </w:rPr>
              <w:t>评价服务项目</w:t>
            </w:r>
          </w:p>
        </w:tc>
        <w:tc>
          <w:tcPr>
            <w:tcW w:w="1155" w:type="dxa"/>
            <w:noWrap w:val="0"/>
            <w:vAlign w:val="center"/>
          </w:tcPr>
          <w:p w14:paraId="3F52BCE5">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1</w:t>
            </w:r>
          </w:p>
        </w:tc>
        <w:tc>
          <w:tcPr>
            <w:tcW w:w="1168" w:type="dxa"/>
            <w:noWrap w:val="0"/>
            <w:vAlign w:val="center"/>
          </w:tcPr>
          <w:p w14:paraId="08B16DBC">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项</w:t>
            </w:r>
          </w:p>
        </w:tc>
      </w:tr>
    </w:tbl>
    <w:p w14:paraId="0582AF29">
      <w:pPr>
        <w:keepNext w:val="0"/>
        <w:keepLines w:val="0"/>
        <w:pageBreakBefore w:val="0"/>
        <w:widowControl/>
        <w:kinsoku w:val="0"/>
        <w:wordWrap/>
        <w:overflowPunct/>
        <w:topLinePunct w:val="0"/>
        <w:autoSpaceDE w:val="0"/>
        <w:autoSpaceDN w:val="0"/>
        <w:bidi w:val="0"/>
        <w:adjustRightInd w:val="0"/>
        <w:snapToGrid w:val="0"/>
        <w:spacing w:line="500" w:lineRule="exact"/>
        <w:ind w:firstLine="542" w:firstLineChars="200"/>
        <w:jc w:val="both"/>
        <w:textAlignment w:val="baseline"/>
        <w:rPr>
          <w:rFonts w:hint="eastAsia" w:ascii="仿宋" w:hAnsi="仿宋" w:eastAsia="仿宋" w:cs="仿宋"/>
          <w:b/>
          <w:bCs/>
          <w:color w:val="auto"/>
          <w:spacing w:val="-5"/>
          <w:sz w:val="28"/>
          <w:szCs w:val="28"/>
        </w:rPr>
      </w:pPr>
    </w:p>
    <w:p w14:paraId="6719D310">
      <w:pPr>
        <w:keepNext w:val="0"/>
        <w:keepLines w:val="0"/>
        <w:pageBreakBefore w:val="0"/>
        <w:widowControl/>
        <w:kinsoku w:val="0"/>
        <w:wordWrap/>
        <w:overflowPunct/>
        <w:topLinePunct w:val="0"/>
        <w:autoSpaceDE w:val="0"/>
        <w:autoSpaceDN w:val="0"/>
        <w:bidi w:val="0"/>
        <w:adjustRightInd w:val="0"/>
        <w:snapToGrid w:val="0"/>
        <w:spacing w:line="500" w:lineRule="exact"/>
        <w:ind w:firstLine="542" w:firstLineChars="200"/>
        <w:jc w:val="both"/>
        <w:textAlignment w:val="baseline"/>
        <w:rPr>
          <w:rFonts w:hint="eastAsia" w:ascii="仿宋" w:hAnsi="仿宋" w:eastAsia="仿宋" w:cs="仿宋"/>
          <w:color w:val="auto"/>
          <w:sz w:val="28"/>
          <w:szCs w:val="28"/>
        </w:rPr>
      </w:pPr>
      <w:r>
        <w:rPr>
          <w:rFonts w:hint="eastAsia" w:ascii="仿宋" w:hAnsi="仿宋" w:eastAsia="仿宋" w:cs="仿宋"/>
          <w:b/>
          <w:bCs/>
          <w:color w:val="auto"/>
          <w:spacing w:val="-5"/>
          <w:sz w:val="28"/>
          <w:szCs w:val="28"/>
        </w:rPr>
        <w:t>二、服务内容及要求（以“★”标示的内容为不允许负偏离的实质性要求）</w:t>
      </w:r>
    </w:p>
    <w:p w14:paraId="10DB16D4">
      <w:pPr>
        <w:keepNext w:val="0"/>
        <w:keepLines w:val="0"/>
        <w:pageBreakBefore w:val="0"/>
        <w:widowControl/>
        <w:kinsoku w:val="0"/>
        <w:wordWrap/>
        <w:overflowPunct/>
        <w:topLinePunct w:val="0"/>
        <w:autoSpaceDE w:val="0"/>
        <w:autoSpaceDN w:val="0"/>
        <w:bidi w:val="0"/>
        <w:adjustRightInd w:val="0"/>
        <w:snapToGrid w:val="0"/>
        <w:spacing w:line="500" w:lineRule="exact"/>
        <w:ind w:left="27" w:right="104" w:firstLine="572" w:firstLineChars="200"/>
        <w:jc w:val="both"/>
        <w:textAlignment w:val="baseline"/>
        <w:rPr>
          <w:rFonts w:hint="eastAsia" w:ascii="仿宋" w:hAnsi="仿宋" w:eastAsia="仿宋" w:cs="仿宋"/>
          <w:color w:val="auto"/>
          <w:spacing w:val="3"/>
          <w:sz w:val="28"/>
          <w:szCs w:val="28"/>
          <w:lang w:eastAsia="zh-CN"/>
        </w:rPr>
      </w:pPr>
      <w:r>
        <w:rPr>
          <w:rFonts w:hint="eastAsia" w:ascii="仿宋" w:hAnsi="仿宋" w:eastAsia="仿宋" w:cs="仿宋"/>
          <w:color w:val="auto"/>
          <w:spacing w:val="3"/>
          <w:sz w:val="28"/>
          <w:szCs w:val="28"/>
        </w:rPr>
        <w:t>1.审计年限为：202</w:t>
      </w:r>
      <w:r>
        <w:rPr>
          <w:rFonts w:hint="eastAsia" w:ascii="仿宋" w:hAnsi="仿宋" w:eastAsia="仿宋" w:cs="仿宋"/>
          <w:color w:val="auto"/>
          <w:spacing w:val="3"/>
          <w:sz w:val="28"/>
          <w:szCs w:val="28"/>
          <w:lang w:val="en-US" w:eastAsia="zh-CN"/>
        </w:rPr>
        <w:t>3</w:t>
      </w:r>
      <w:r>
        <w:rPr>
          <w:rFonts w:hint="eastAsia" w:ascii="仿宋" w:hAnsi="仿宋" w:eastAsia="仿宋" w:cs="仿宋"/>
          <w:color w:val="auto"/>
          <w:spacing w:val="3"/>
          <w:sz w:val="28"/>
          <w:szCs w:val="28"/>
        </w:rPr>
        <w:t>年1月1日—202</w:t>
      </w:r>
      <w:r>
        <w:rPr>
          <w:rFonts w:hint="eastAsia" w:ascii="仿宋" w:hAnsi="仿宋" w:eastAsia="仿宋" w:cs="仿宋"/>
          <w:color w:val="auto"/>
          <w:spacing w:val="3"/>
          <w:sz w:val="28"/>
          <w:szCs w:val="28"/>
          <w:lang w:val="en-US" w:eastAsia="zh-CN"/>
        </w:rPr>
        <w:t>3</w:t>
      </w:r>
      <w:r>
        <w:rPr>
          <w:rFonts w:hint="eastAsia" w:ascii="仿宋" w:hAnsi="仿宋" w:eastAsia="仿宋" w:cs="仿宋"/>
          <w:color w:val="auto"/>
          <w:spacing w:val="3"/>
          <w:sz w:val="28"/>
          <w:szCs w:val="28"/>
        </w:rPr>
        <w:t>年12月31日。</w:t>
      </w:r>
      <w:r>
        <w:rPr>
          <w:rFonts w:hint="eastAsia" w:ascii="仿宋" w:hAnsi="仿宋" w:eastAsia="仿宋" w:cs="仿宋"/>
          <w:color w:val="auto"/>
          <w:spacing w:val="3"/>
          <w:sz w:val="28"/>
          <w:szCs w:val="28"/>
          <w:lang w:eastAsia="zh-CN"/>
        </w:rPr>
        <w:t>（</w:t>
      </w:r>
      <w:r>
        <w:rPr>
          <w:rFonts w:hint="eastAsia" w:ascii="仿宋" w:hAnsi="仿宋" w:eastAsia="仿宋" w:cs="仿宋"/>
          <w:color w:val="auto"/>
          <w:spacing w:val="3"/>
          <w:sz w:val="28"/>
          <w:szCs w:val="28"/>
        </w:rPr>
        <w:t>评审项1</w:t>
      </w:r>
      <w:r>
        <w:rPr>
          <w:rFonts w:hint="eastAsia" w:ascii="仿宋" w:hAnsi="仿宋" w:eastAsia="仿宋" w:cs="仿宋"/>
          <w:color w:val="auto"/>
          <w:spacing w:val="3"/>
          <w:sz w:val="28"/>
          <w:szCs w:val="28"/>
          <w:lang w:eastAsia="zh-CN"/>
        </w:rPr>
        <w:t>）</w:t>
      </w:r>
    </w:p>
    <w:p w14:paraId="3E5E6BBA">
      <w:pPr>
        <w:keepNext w:val="0"/>
        <w:keepLines w:val="0"/>
        <w:pageBreakBefore w:val="0"/>
        <w:widowControl/>
        <w:kinsoku w:val="0"/>
        <w:wordWrap/>
        <w:overflowPunct/>
        <w:topLinePunct w:val="0"/>
        <w:autoSpaceDE w:val="0"/>
        <w:autoSpaceDN w:val="0"/>
        <w:bidi w:val="0"/>
        <w:adjustRightInd w:val="0"/>
        <w:snapToGrid w:val="0"/>
        <w:spacing w:line="500" w:lineRule="exact"/>
        <w:ind w:left="27" w:right="104" w:firstLine="572" w:firstLineChars="200"/>
        <w:jc w:val="both"/>
        <w:textAlignment w:val="baseline"/>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2.根据《关于印发&lt;行政事业单位内部控制规范(试行)&gt;的通知》（财会〔2012〕21号）、《公立医院内部控制管理办法》（国卫财务发〔2020〕31号）、《关于印发&lt;关于进一步加强公立医院内部控制建设的指导意见&gt;的通知》（财会〔2023〕31号）、《进一步加强卫生健康行业内部审计工作的若干意见》（国卫财务发〔2022〕9号）等精神，结合医院实际，主要涉及政府采购管理、资产管理、合同管理等方面，主要内容如下：</w:t>
      </w:r>
    </w:p>
    <w:p w14:paraId="15CECE18">
      <w:pPr>
        <w:keepNext w:val="0"/>
        <w:keepLines w:val="0"/>
        <w:pageBreakBefore w:val="0"/>
        <w:widowControl/>
        <w:kinsoku w:val="0"/>
        <w:wordWrap/>
        <w:overflowPunct/>
        <w:topLinePunct w:val="0"/>
        <w:autoSpaceDE w:val="0"/>
        <w:autoSpaceDN w:val="0"/>
        <w:bidi w:val="0"/>
        <w:adjustRightInd w:val="0"/>
        <w:snapToGrid w:val="0"/>
        <w:spacing w:line="500" w:lineRule="exact"/>
        <w:ind w:left="27" w:right="104" w:firstLine="572" w:firstLineChars="200"/>
        <w:jc w:val="both"/>
        <w:textAlignment w:val="baseline"/>
        <w:rPr>
          <w:rFonts w:hint="eastAsia" w:ascii="仿宋" w:hAnsi="仿宋" w:eastAsia="仿宋" w:cs="仿宋"/>
          <w:color w:val="auto"/>
          <w:spacing w:val="3"/>
          <w:sz w:val="28"/>
          <w:szCs w:val="28"/>
          <w:lang w:val="en-US" w:eastAsia="zh-CN"/>
        </w:rPr>
      </w:pPr>
      <w:r>
        <w:rPr>
          <w:rFonts w:hint="eastAsia" w:ascii="仿宋" w:hAnsi="仿宋" w:eastAsia="仿宋" w:cs="仿宋"/>
          <w:color w:val="auto"/>
          <w:spacing w:val="3"/>
          <w:sz w:val="28"/>
          <w:szCs w:val="28"/>
          <w:lang w:eastAsia="zh-CN"/>
        </w:rPr>
        <w:t>（</w:t>
      </w:r>
      <w:r>
        <w:rPr>
          <w:rFonts w:hint="eastAsia" w:ascii="仿宋" w:hAnsi="仿宋" w:eastAsia="仿宋" w:cs="仿宋"/>
          <w:color w:val="auto"/>
          <w:spacing w:val="3"/>
          <w:sz w:val="28"/>
          <w:szCs w:val="28"/>
          <w:lang w:val="en-US" w:eastAsia="zh-CN"/>
        </w:rPr>
        <w:t>1</w:t>
      </w:r>
      <w:r>
        <w:rPr>
          <w:rFonts w:hint="eastAsia" w:ascii="仿宋" w:hAnsi="仿宋" w:eastAsia="仿宋" w:cs="仿宋"/>
          <w:color w:val="auto"/>
          <w:spacing w:val="3"/>
          <w:sz w:val="28"/>
          <w:szCs w:val="28"/>
          <w:lang w:eastAsia="zh-CN"/>
        </w:rPr>
        <w:t>）</w:t>
      </w:r>
      <w:r>
        <w:rPr>
          <w:rFonts w:hint="eastAsia" w:ascii="仿宋" w:hAnsi="仿宋" w:eastAsia="仿宋" w:cs="仿宋"/>
          <w:color w:val="auto"/>
          <w:spacing w:val="3"/>
          <w:sz w:val="28"/>
          <w:szCs w:val="28"/>
          <w:lang w:val="en-US" w:eastAsia="zh-CN"/>
        </w:rPr>
        <w:t>风险评估</w:t>
      </w:r>
    </w:p>
    <w:p w14:paraId="492D107D">
      <w:pPr>
        <w:keepNext w:val="0"/>
        <w:keepLines w:val="0"/>
        <w:pageBreakBefore w:val="0"/>
        <w:widowControl/>
        <w:kinsoku w:val="0"/>
        <w:wordWrap/>
        <w:overflowPunct/>
        <w:topLinePunct w:val="0"/>
        <w:autoSpaceDE w:val="0"/>
        <w:autoSpaceDN w:val="0"/>
        <w:bidi w:val="0"/>
        <w:adjustRightInd w:val="0"/>
        <w:snapToGrid w:val="0"/>
        <w:spacing w:line="500" w:lineRule="exact"/>
        <w:ind w:left="27" w:right="104" w:firstLine="572" w:firstLineChars="200"/>
        <w:jc w:val="both"/>
        <w:textAlignment w:val="baseline"/>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①单位层面的风险评估应重点关注：</w:t>
      </w:r>
    </w:p>
    <w:p w14:paraId="4CE6BC57">
      <w:pPr>
        <w:keepNext w:val="0"/>
        <w:keepLines w:val="0"/>
        <w:pageBreakBefore w:val="0"/>
        <w:widowControl/>
        <w:kinsoku w:val="0"/>
        <w:wordWrap/>
        <w:overflowPunct/>
        <w:topLinePunct w:val="0"/>
        <w:autoSpaceDE w:val="0"/>
        <w:autoSpaceDN w:val="0"/>
        <w:bidi w:val="0"/>
        <w:adjustRightInd w:val="0"/>
        <w:snapToGrid w:val="0"/>
        <w:spacing w:line="500" w:lineRule="exact"/>
        <w:ind w:left="27" w:right="104" w:firstLine="572" w:firstLineChars="200"/>
        <w:jc w:val="both"/>
        <w:textAlignment w:val="baseline"/>
        <w:rPr>
          <w:rFonts w:hint="eastAsia" w:ascii="仿宋" w:hAnsi="仿宋" w:eastAsia="仿宋" w:cs="仿宋"/>
          <w:color w:val="auto"/>
          <w:spacing w:val="3"/>
          <w:sz w:val="28"/>
          <w:szCs w:val="28"/>
          <w:lang w:eastAsia="zh-CN"/>
        </w:rPr>
      </w:pPr>
      <w:r>
        <w:rPr>
          <w:rFonts w:hint="eastAsia" w:ascii="仿宋" w:hAnsi="仿宋" w:eastAsia="仿宋" w:cs="仿宋"/>
          <w:color w:val="auto"/>
          <w:spacing w:val="3"/>
          <w:sz w:val="28"/>
          <w:szCs w:val="28"/>
        </w:rPr>
        <w:t>内部控制的组织建设、机制建设、制度建设、队伍建设、流程建设等情况。</w:t>
      </w:r>
      <w:r>
        <w:rPr>
          <w:rFonts w:hint="eastAsia" w:ascii="仿宋" w:hAnsi="仿宋" w:eastAsia="仿宋" w:cs="仿宋"/>
          <w:color w:val="auto"/>
          <w:spacing w:val="3"/>
          <w:sz w:val="28"/>
          <w:szCs w:val="28"/>
          <w:lang w:eastAsia="zh-CN"/>
        </w:rPr>
        <w:t>（</w:t>
      </w:r>
      <w:r>
        <w:rPr>
          <w:rFonts w:hint="eastAsia" w:ascii="仿宋" w:hAnsi="仿宋" w:eastAsia="仿宋" w:cs="仿宋"/>
          <w:color w:val="auto"/>
          <w:spacing w:val="3"/>
          <w:sz w:val="28"/>
          <w:szCs w:val="28"/>
        </w:rPr>
        <w:t>评审项</w:t>
      </w:r>
      <w:r>
        <w:rPr>
          <w:rFonts w:hint="eastAsia" w:ascii="仿宋" w:hAnsi="仿宋" w:eastAsia="仿宋" w:cs="仿宋"/>
          <w:color w:val="auto"/>
          <w:spacing w:val="3"/>
          <w:sz w:val="28"/>
          <w:szCs w:val="28"/>
          <w:lang w:val="en-US" w:eastAsia="zh-CN"/>
        </w:rPr>
        <w:t>2）</w:t>
      </w:r>
    </w:p>
    <w:p w14:paraId="374E0559">
      <w:pPr>
        <w:keepNext w:val="0"/>
        <w:keepLines w:val="0"/>
        <w:pageBreakBefore w:val="0"/>
        <w:widowControl/>
        <w:kinsoku w:val="0"/>
        <w:wordWrap/>
        <w:overflowPunct/>
        <w:topLinePunct w:val="0"/>
        <w:autoSpaceDE w:val="0"/>
        <w:autoSpaceDN w:val="0"/>
        <w:bidi w:val="0"/>
        <w:adjustRightInd w:val="0"/>
        <w:snapToGrid w:val="0"/>
        <w:spacing w:line="500" w:lineRule="exact"/>
        <w:ind w:left="27" w:right="104" w:firstLine="572" w:firstLineChars="200"/>
        <w:jc w:val="both"/>
        <w:textAlignment w:val="baseline"/>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②业务层面的风险评估应重点关注：</w:t>
      </w:r>
    </w:p>
    <w:p w14:paraId="431583D6">
      <w:pPr>
        <w:keepNext w:val="0"/>
        <w:keepLines w:val="0"/>
        <w:pageBreakBefore w:val="0"/>
        <w:widowControl/>
        <w:kinsoku w:val="0"/>
        <w:wordWrap/>
        <w:overflowPunct/>
        <w:topLinePunct w:val="0"/>
        <w:autoSpaceDE w:val="0"/>
        <w:autoSpaceDN w:val="0"/>
        <w:bidi w:val="0"/>
        <w:adjustRightInd w:val="0"/>
        <w:snapToGrid w:val="0"/>
        <w:spacing w:line="500" w:lineRule="exact"/>
        <w:ind w:left="27" w:right="104" w:firstLine="572" w:firstLineChars="200"/>
        <w:jc w:val="both"/>
        <w:textAlignment w:val="baseline"/>
        <w:rPr>
          <w:rFonts w:hint="eastAsia" w:ascii="仿宋" w:hAnsi="仿宋" w:eastAsia="仿宋" w:cs="仿宋"/>
          <w:color w:val="auto"/>
          <w:spacing w:val="3"/>
          <w:sz w:val="28"/>
          <w:szCs w:val="28"/>
          <w:lang w:eastAsia="zh-CN"/>
        </w:rPr>
      </w:pPr>
      <w:r>
        <w:rPr>
          <w:rFonts w:hint="eastAsia" w:ascii="仿宋" w:hAnsi="仿宋" w:eastAsia="仿宋" w:cs="仿宋"/>
          <w:color w:val="auto"/>
          <w:spacing w:val="3"/>
          <w:sz w:val="28"/>
          <w:szCs w:val="28"/>
        </w:rPr>
        <w:t>政府采购管理情况。包括是否实现政府采购业务归口管理；是否按照预算和计划组织政府采购业务；是否按照规定组织政府采购活动和执行验收程序；是否按照规定保管政府采购业务相关档案等。</w:t>
      </w:r>
      <w:r>
        <w:rPr>
          <w:rFonts w:hint="eastAsia" w:ascii="仿宋" w:hAnsi="仿宋" w:eastAsia="仿宋" w:cs="仿宋"/>
          <w:color w:val="auto"/>
          <w:spacing w:val="3"/>
          <w:sz w:val="28"/>
          <w:szCs w:val="28"/>
          <w:lang w:eastAsia="zh-CN"/>
        </w:rPr>
        <w:t>（</w:t>
      </w:r>
      <w:r>
        <w:rPr>
          <w:rFonts w:hint="eastAsia" w:ascii="仿宋" w:hAnsi="仿宋" w:eastAsia="仿宋" w:cs="仿宋"/>
          <w:color w:val="auto"/>
          <w:spacing w:val="3"/>
          <w:sz w:val="28"/>
          <w:szCs w:val="28"/>
        </w:rPr>
        <w:t>评审项</w:t>
      </w:r>
      <w:r>
        <w:rPr>
          <w:rFonts w:hint="eastAsia" w:ascii="仿宋" w:hAnsi="仿宋" w:eastAsia="仿宋" w:cs="仿宋"/>
          <w:color w:val="auto"/>
          <w:spacing w:val="3"/>
          <w:sz w:val="28"/>
          <w:szCs w:val="28"/>
          <w:lang w:val="en-US" w:eastAsia="zh-CN"/>
        </w:rPr>
        <w:t>3</w:t>
      </w:r>
      <w:r>
        <w:rPr>
          <w:rFonts w:hint="eastAsia" w:ascii="仿宋" w:hAnsi="仿宋" w:eastAsia="仿宋" w:cs="仿宋"/>
          <w:color w:val="auto"/>
          <w:spacing w:val="3"/>
          <w:sz w:val="28"/>
          <w:szCs w:val="28"/>
          <w:lang w:eastAsia="zh-CN"/>
        </w:rPr>
        <w:t>）</w:t>
      </w:r>
    </w:p>
    <w:p w14:paraId="7D18E771">
      <w:pPr>
        <w:keepNext w:val="0"/>
        <w:keepLines w:val="0"/>
        <w:pageBreakBefore w:val="0"/>
        <w:widowControl/>
        <w:kinsoku w:val="0"/>
        <w:wordWrap/>
        <w:overflowPunct/>
        <w:topLinePunct w:val="0"/>
        <w:autoSpaceDE w:val="0"/>
        <w:autoSpaceDN w:val="0"/>
        <w:bidi w:val="0"/>
        <w:adjustRightInd w:val="0"/>
        <w:snapToGrid w:val="0"/>
        <w:spacing w:line="500" w:lineRule="exact"/>
        <w:ind w:left="27" w:right="104" w:firstLine="572" w:firstLineChars="200"/>
        <w:jc w:val="both"/>
        <w:textAlignment w:val="baseline"/>
        <w:rPr>
          <w:rFonts w:hint="eastAsia" w:ascii="仿宋" w:hAnsi="仿宋" w:eastAsia="仿宋" w:cs="仿宋"/>
          <w:color w:val="auto"/>
          <w:spacing w:val="3"/>
          <w:sz w:val="28"/>
          <w:szCs w:val="28"/>
          <w:lang w:eastAsia="zh-CN"/>
        </w:rPr>
      </w:pPr>
      <w:r>
        <w:rPr>
          <w:rFonts w:hint="eastAsia" w:ascii="仿宋" w:hAnsi="仿宋" w:eastAsia="仿宋" w:cs="仿宋"/>
          <w:color w:val="auto"/>
          <w:spacing w:val="3"/>
          <w:sz w:val="28"/>
          <w:szCs w:val="28"/>
        </w:rPr>
        <w:t>资产管理情况。包括是否实现资产归口管理并明确使用责任；是否定期对资产进行清查盘点，对账实不符的情况是否及时处理；是否按照规定处置资产等。</w:t>
      </w:r>
      <w:r>
        <w:rPr>
          <w:rFonts w:hint="eastAsia" w:ascii="仿宋" w:hAnsi="仿宋" w:eastAsia="仿宋" w:cs="仿宋"/>
          <w:color w:val="auto"/>
          <w:spacing w:val="3"/>
          <w:sz w:val="28"/>
          <w:szCs w:val="28"/>
          <w:lang w:eastAsia="zh-CN"/>
        </w:rPr>
        <w:t>（</w:t>
      </w:r>
      <w:r>
        <w:rPr>
          <w:rFonts w:hint="eastAsia" w:ascii="仿宋" w:hAnsi="仿宋" w:eastAsia="仿宋" w:cs="仿宋"/>
          <w:color w:val="auto"/>
          <w:spacing w:val="3"/>
          <w:sz w:val="28"/>
          <w:szCs w:val="28"/>
        </w:rPr>
        <w:t>评审项</w:t>
      </w:r>
      <w:r>
        <w:rPr>
          <w:rFonts w:hint="eastAsia" w:ascii="仿宋" w:hAnsi="仿宋" w:eastAsia="仿宋" w:cs="仿宋"/>
          <w:color w:val="auto"/>
          <w:spacing w:val="3"/>
          <w:sz w:val="28"/>
          <w:szCs w:val="28"/>
          <w:lang w:val="en-US" w:eastAsia="zh-CN"/>
        </w:rPr>
        <w:t>4</w:t>
      </w:r>
      <w:r>
        <w:rPr>
          <w:rFonts w:hint="eastAsia" w:ascii="仿宋" w:hAnsi="仿宋" w:eastAsia="仿宋" w:cs="仿宋"/>
          <w:color w:val="auto"/>
          <w:spacing w:val="3"/>
          <w:sz w:val="28"/>
          <w:szCs w:val="28"/>
          <w:lang w:eastAsia="zh-CN"/>
        </w:rPr>
        <w:t>）</w:t>
      </w:r>
    </w:p>
    <w:p w14:paraId="63F67E90">
      <w:pPr>
        <w:keepNext w:val="0"/>
        <w:keepLines w:val="0"/>
        <w:pageBreakBefore w:val="0"/>
        <w:widowControl/>
        <w:kinsoku w:val="0"/>
        <w:wordWrap/>
        <w:overflowPunct/>
        <w:topLinePunct w:val="0"/>
        <w:autoSpaceDE w:val="0"/>
        <w:autoSpaceDN w:val="0"/>
        <w:bidi w:val="0"/>
        <w:adjustRightInd w:val="0"/>
        <w:snapToGrid w:val="0"/>
        <w:spacing w:line="500" w:lineRule="exact"/>
        <w:ind w:left="27" w:right="104" w:firstLine="572" w:firstLineChars="200"/>
        <w:jc w:val="both"/>
        <w:textAlignment w:val="baseline"/>
        <w:rPr>
          <w:rFonts w:hint="eastAsia" w:ascii="仿宋" w:hAnsi="仿宋" w:eastAsia="仿宋" w:cs="仿宋"/>
          <w:color w:val="auto"/>
          <w:spacing w:val="3"/>
          <w:sz w:val="28"/>
          <w:szCs w:val="28"/>
          <w:lang w:eastAsia="zh-CN"/>
        </w:rPr>
      </w:pPr>
      <w:r>
        <w:rPr>
          <w:rFonts w:hint="eastAsia" w:ascii="仿宋" w:hAnsi="仿宋" w:eastAsia="仿宋" w:cs="仿宋"/>
          <w:color w:val="auto"/>
          <w:spacing w:val="3"/>
          <w:sz w:val="28"/>
          <w:szCs w:val="28"/>
        </w:rPr>
        <w:t>合同管理情况。包括是否实现合同归口管理；是否建立并执行合同签订的审核机制；是否明确应当签订合同的经济活动范围和条件；是否有效监控合同履行情况，是否建立合同纠纷协调机制等。</w:t>
      </w:r>
      <w:r>
        <w:rPr>
          <w:rFonts w:hint="eastAsia" w:ascii="仿宋" w:hAnsi="仿宋" w:eastAsia="仿宋" w:cs="仿宋"/>
          <w:color w:val="auto"/>
          <w:spacing w:val="3"/>
          <w:sz w:val="28"/>
          <w:szCs w:val="28"/>
          <w:lang w:eastAsia="zh-CN"/>
        </w:rPr>
        <w:t>（</w:t>
      </w:r>
      <w:r>
        <w:rPr>
          <w:rFonts w:hint="eastAsia" w:ascii="仿宋" w:hAnsi="仿宋" w:eastAsia="仿宋" w:cs="仿宋"/>
          <w:color w:val="auto"/>
          <w:spacing w:val="3"/>
          <w:sz w:val="28"/>
          <w:szCs w:val="28"/>
        </w:rPr>
        <w:t>评审项</w:t>
      </w:r>
      <w:r>
        <w:rPr>
          <w:rFonts w:hint="eastAsia" w:ascii="仿宋" w:hAnsi="仿宋" w:eastAsia="仿宋" w:cs="仿宋"/>
          <w:color w:val="auto"/>
          <w:spacing w:val="3"/>
          <w:sz w:val="28"/>
          <w:szCs w:val="28"/>
          <w:lang w:val="en-US" w:eastAsia="zh-CN"/>
        </w:rPr>
        <w:t>5）</w:t>
      </w:r>
    </w:p>
    <w:p w14:paraId="467CAAB1">
      <w:pPr>
        <w:keepNext w:val="0"/>
        <w:keepLines w:val="0"/>
        <w:pageBreakBefore w:val="0"/>
        <w:widowControl/>
        <w:kinsoku w:val="0"/>
        <w:wordWrap/>
        <w:overflowPunct/>
        <w:topLinePunct w:val="0"/>
        <w:autoSpaceDE w:val="0"/>
        <w:autoSpaceDN w:val="0"/>
        <w:bidi w:val="0"/>
        <w:adjustRightInd w:val="0"/>
        <w:snapToGrid w:val="0"/>
        <w:spacing w:line="500" w:lineRule="exact"/>
        <w:ind w:left="27" w:right="104" w:firstLine="572" w:firstLineChars="200"/>
        <w:jc w:val="both"/>
        <w:textAlignment w:val="baseline"/>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lang w:eastAsia="zh-CN"/>
        </w:rPr>
        <w:t>（</w:t>
      </w:r>
      <w:r>
        <w:rPr>
          <w:rFonts w:hint="eastAsia" w:ascii="仿宋" w:hAnsi="仿宋" w:eastAsia="仿宋" w:cs="仿宋"/>
          <w:color w:val="auto"/>
          <w:spacing w:val="3"/>
          <w:sz w:val="28"/>
          <w:szCs w:val="28"/>
          <w:lang w:val="en-US" w:eastAsia="zh-CN"/>
        </w:rPr>
        <w:t>2</w:t>
      </w:r>
      <w:r>
        <w:rPr>
          <w:rFonts w:hint="eastAsia" w:ascii="仿宋" w:hAnsi="仿宋" w:eastAsia="仿宋" w:cs="仿宋"/>
          <w:color w:val="auto"/>
          <w:spacing w:val="3"/>
          <w:sz w:val="28"/>
          <w:szCs w:val="28"/>
          <w:lang w:eastAsia="zh-CN"/>
        </w:rPr>
        <w:t>）</w:t>
      </w:r>
      <w:r>
        <w:rPr>
          <w:rFonts w:hint="eastAsia" w:ascii="仿宋" w:hAnsi="仿宋" w:eastAsia="仿宋" w:cs="仿宋"/>
          <w:color w:val="auto"/>
          <w:spacing w:val="3"/>
          <w:sz w:val="28"/>
          <w:szCs w:val="28"/>
        </w:rPr>
        <w:t>内部控制评价</w:t>
      </w:r>
    </w:p>
    <w:p w14:paraId="2D57A810">
      <w:pPr>
        <w:keepNext w:val="0"/>
        <w:keepLines w:val="0"/>
        <w:pageBreakBefore w:val="0"/>
        <w:widowControl/>
        <w:kinsoku w:val="0"/>
        <w:wordWrap/>
        <w:overflowPunct/>
        <w:topLinePunct w:val="0"/>
        <w:autoSpaceDE w:val="0"/>
        <w:autoSpaceDN w:val="0"/>
        <w:bidi w:val="0"/>
        <w:adjustRightInd w:val="0"/>
        <w:snapToGrid w:val="0"/>
        <w:spacing w:line="500" w:lineRule="exact"/>
        <w:ind w:left="27" w:right="104" w:firstLine="572" w:firstLineChars="200"/>
        <w:jc w:val="both"/>
        <w:textAlignment w:val="baseline"/>
        <w:rPr>
          <w:rFonts w:hint="eastAsia" w:ascii="仿宋" w:hAnsi="仿宋" w:eastAsia="仿宋" w:cs="仿宋"/>
          <w:color w:val="auto"/>
          <w:spacing w:val="3"/>
          <w:sz w:val="28"/>
          <w:szCs w:val="28"/>
          <w:lang w:eastAsia="zh-CN"/>
        </w:rPr>
      </w:pPr>
      <w:r>
        <w:rPr>
          <w:rFonts w:hint="eastAsia" w:ascii="仿宋" w:hAnsi="仿宋" w:eastAsia="仿宋" w:cs="仿宋"/>
          <w:color w:val="auto"/>
          <w:spacing w:val="3"/>
          <w:sz w:val="28"/>
          <w:szCs w:val="28"/>
        </w:rPr>
        <w:t>内部控制评价分为内部控制设计有效性评价和内部控制运行有效性评价。内部控制评价报告至少应当包括：真实性声明、评价工作总体情况、评价依据、评价范围、评价程序和方法、风险及其认定、风险整改及对重大风险拟采取的控制措施、评价结论等内容。</w:t>
      </w:r>
      <w:r>
        <w:rPr>
          <w:rFonts w:hint="eastAsia" w:ascii="仿宋" w:hAnsi="仿宋" w:eastAsia="仿宋" w:cs="仿宋"/>
          <w:color w:val="auto"/>
          <w:spacing w:val="3"/>
          <w:sz w:val="28"/>
          <w:szCs w:val="28"/>
          <w:lang w:eastAsia="zh-CN"/>
        </w:rPr>
        <w:t>（</w:t>
      </w:r>
      <w:r>
        <w:rPr>
          <w:rFonts w:hint="eastAsia" w:ascii="仿宋" w:hAnsi="仿宋" w:eastAsia="仿宋" w:cs="仿宋"/>
          <w:color w:val="auto"/>
          <w:spacing w:val="3"/>
          <w:sz w:val="28"/>
          <w:szCs w:val="28"/>
        </w:rPr>
        <w:t>评审项</w:t>
      </w:r>
      <w:r>
        <w:rPr>
          <w:rFonts w:hint="eastAsia" w:ascii="仿宋" w:hAnsi="仿宋" w:eastAsia="仿宋" w:cs="仿宋"/>
          <w:color w:val="auto"/>
          <w:spacing w:val="3"/>
          <w:sz w:val="28"/>
          <w:szCs w:val="28"/>
          <w:lang w:val="en-US" w:eastAsia="zh-CN"/>
        </w:rPr>
        <w:t>6）</w:t>
      </w:r>
    </w:p>
    <w:p w14:paraId="0198673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right="104" w:rightChars="0" w:firstLine="572" w:firstLineChars="200"/>
        <w:jc w:val="both"/>
        <w:textAlignment w:val="baseline"/>
        <w:rPr>
          <w:rFonts w:hint="eastAsia" w:ascii="仿宋" w:hAnsi="仿宋" w:eastAsia="仿宋" w:cs="仿宋"/>
          <w:color w:val="auto"/>
          <w:spacing w:val="3"/>
          <w:sz w:val="28"/>
          <w:szCs w:val="28"/>
          <w:lang w:val="en-US" w:eastAsia="zh-CN"/>
        </w:rPr>
      </w:pPr>
      <w:r>
        <w:rPr>
          <w:rFonts w:hint="eastAsia" w:ascii="仿宋" w:hAnsi="仿宋" w:eastAsia="仿宋" w:cs="仿宋"/>
          <w:color w:val="auto"/>
          <w:spacing w:val="3"/>
          <w:sz w:val="28"/>
          <w:szCs w:val="28"/>
          <w:lang w:val="en-US" w:eastAsia="zh-CN"/>
        </w:rPr>
        <w:t>3.</w:t>
      </w:r>
      <w:r>
        <w:rPr>
          <w:rFonts w:hint="eastAsia" w:ascii="仿宋" w:hAnsi="仿宋" w:eastAsia="仿宋" w:cs="仿宋"/>
          <w:color w:val="auto"/>
          <w:spacing w:val="3"/>
          <w:sz w:val="28"/>
          <w:szCs w:val="28"/>
        </w:rPr>
        <w:t>审计</w:t>
      </w:r>
      <w:r>
        <w:rPr>
          <w:rFonts w:hint="eastAsia" w:ascii="仿宋" w:hAnsi="仿宋" w:eastAsia="仿宋" w:cs="仿宋"/>
          <w:color w:val="auto"/>
          <w:spacing w:val="3"/>
          <w:sz w:val="28"/>
          <w:szCs w:val="28"/>
          <w:lang w:val="en-US" w:eastAsia="zh-CN"/>
        </w:rPr>
        <w:t>时限及人员、报告要求：</w:t>
      </w:r>
    </w:p>
    <w:p w14:paraId="732E93EA">
      <w:pPr>
        <w:keepNext w:val="0"/>
        <w:keepLines w:val="0"/>
        <w:pageBreakBefore w:val="0"/>
        <w:widowControl/>
        <w:kinsoku w:val="0"/>
        <w:wordWrap/>
        <w:overflowPunct/>
        <w:topLinePunct w:val="0"/>
        <w:autoSpaceDE w:val="0"/>
        <w:autoSpaceDN w:val="0"/>
        <w:bidi w:val="0"/>
        <w:adjustRightInd w:val="0"/>
        <w:snapToGrid w:val="0"/>
        <w:spacing w:line="500" w:lineRule="exact"/>
        <w:ind w:left="27" w:right="104" w:firstLine="572" w:firstLineChars="200"/>
        <w:jc w:val="both"/>
        <w:textAlignment w:val="baseline"/>
        <w:rPr>
          <w:rFonts w:hint="eastAsia" w:ascii="仿宋" w:hAnsi="仿宋" w:eastAsia="仿宋" w:cs="仿宋"/>
          <w:color w:val="auto"/>
          <w:spacing w:val="3"/>
          <w:sz w:val="28"/>
          <w:szCs w:val="28"/>
          <w:lang w:val="en-US" w:eastAsia="zh-CN"/>
        </w:rPr>
      </w:pPr>
      <w:r>
        <w:rPr>
          <w:rFonts w:hint="eastAsia" w:ascii="仿宋" w:hAnsi="仿宋" w:eastAsia="仿宋" w:cs="仿宋"/>
          <w:color w:val="auto"/>
          <w:spacing w:val="3"/>
          <w:sz w:val="28"/>
          <w:szCs w:val="28"/>
          <w:lang w:eastAsia="zh-CN"/>
        </w:rPr>
        <w:t>（</w:t>
      </w:r>
      <w:r>
        <w:rPr>
          <w:rFonts w:hint="eastAsia" w:ascii="仿宋" w:hAnsi="仿宋" w:eastAsia="仿宋" w:cs="仿宋"/>
          <w:color w:val="auto"/>
          <w:spacing w:val="3"/>
          <w:sz w:val="28"/>
          <w:szCs w:val="28"/>
          <w:lang w:val="en-US" w:eastAsia="zh-CN"/>
        </w:rPr>
        <w:t>1</w:t>
      </w:r>
      <w:r>
        <w:rPr>
          <w:rFonts w:hint="eastAsia" w:ascii="仿宋" w:hAnsi="仿宋" w:eastAsia="仿宋" w:cs="仿宋"/>
          <w:color w:val="auto"/>
          <w:spacing w:val="3"/>
          <w:sz w:val="28"/>
          <w:szCs w:val="28"/>
          <w:lang w:eastAsia="zh-CN"/>
        </w:rPr>
        <w:t>）</w:t>
      </w:r>
      <w:r>
        <w:rPr>
          <w:rFonts w:hint="eastAsia" w:ascii="仿宋" w:hAnsi="仿宋" w:eastAsia="仿宋" w:cs="仿宋"/>
          <w:color w:val="auto"/>
          <w:spacing w:val="3"/>
          <w:sz w:val="28"/>
          <w:szCs w:val="28"/>
          <w:lang w:val="en-US" w:eastAsia="zh-CN"/>
        </w:rPr>
        <w:t>审计工作时限：30个工作日（含出具审计报告在内），审计入场时间2024年9月。具体时间另行通知。</w:t>
      </w:r>
      <w:r>
        <w:rPr>
          <w:rFonts w:hint="eastAsia" w:ascii="仿宋" w:hAnsi="仿宋" w:eastAsia="仿宋" w:cs="仿宋"/>
          <w:color w:val="auto"/>
          <w:spacing w:val="3"/>
          <w:sz w:val="28"/>
          <w:szCs w:val="28"/>
          <w:lang w:eastAsia="zh-CN"/>
        </w:rPr>
        <w:t>（</w:t>
      </w:r>
      <w:r>
        <w:rPr>
          <w:rFonts w:hint="eastAsia" w:ascii="仿宋" w:hAnsi="仿宋" w:eastAsia="仿宋" w:cs="仿宋"/>
          <w:color w:val="auto"/>
          <w:spacing w:val="3"/>
          <w:sz w:val="28"/>
          <w:szCs w:val="28"/>
          <w:lang w:val="en-US" w:eastAsia="zh-CN"/>
        </w:rPr>
        <w:t>评审项7）</w:t>
      </w:r>
    </w:p>
    <w:p w14:paraId="6C0934A9">
      <w:pPr>
        <w:keepNext w:val="0"/>
        <w:keepLines w:val="0"/>
        <w:pageBreakBefore w:val="0"/>
        <w:widowControl/>
        <w:kinsoku w:val="0"/>
        <w:wordWrap/>
        <w:overflowPunct/>
        <w:topLinePunct w:val="0"/>
        <w:autoSpaceDE w:val="0"/>
        <w:autoSpaceDN w:val="0"/>
        <w:bidi w:val="0"/>
        <w:adjustRightInd w:val="0"/>
        <w:snapToGrid w:val="0"/>
        <w:spacing w:line="500" w:lineRule="exact"/>
        <w:ind w:left="27" w:right="104" w:firstLine="562" w:firstLineChars="200"/>
        <w:jc w:val="both"/>
        <w:textAlignment w:val="baseline"/>
        <w:rPr>
          <w:rFonts w:hint="eastAsia" w:ascii="仿宋" w:hAnsi="仿宋" w:eastAsia="仿宋" w:cs="仿宋"/>
          <w:color w:val="auto"/>
          <w:spacing w:val="3"/>
          <w:sz w:val="28"/>
          <w:szCs w:val="28"/>
        </w:rPr>
      </w:pPr>
      <w:r>
        <w:rPr>
          <w:rFonts w:ascii="宋体" w:hAnsi="宋体" w:eastAsia="宋体" w:cs="宋体"/>
          <w:b/>
          <w:color w:val="auto"/>
          <w:sz w:val="28"/>
          <w:szCs w:val="28"/>
          <w:highlight w:val="none"/>
        </w:rPr>
        <w:t>★</w:t>
      </w:r>
      <w:r>
        <w:rPr>
          <w:rFonts w:hint="eastAsia" w:ascii="仿宋" w:hAnsi="仿宋" w:eastAsia="仿宋" w:cs="仿宋"/>
          <w:color w:val="auto"/>
          <w:spacing w:val="3"/>
          <w:sz w:val="28"/>
          <w:szCs w:val="28"/>
          <w:lang w:eastAsia="zh-CN"/>
        </w:rPr>
        <w:t>（</w:t>
      </w:r>
      <w:r>
        <w:rPr>
          <w:rFonts w:hint="eastAsia" w:ascii="仿宋" w:hAnsi="仿宋" w:eastAsia="仿宋" w:cs="仿宋"/>
          <w:color w:val="auto"/>
          <w:spacing w:val="3"/>
          <w:sz w:val="28"/>
          <w:szCs w:val="28"/>
          <w:lang w:val="en-US" w:eastAsia="zh-CN"/>
        </w:rPr>
        <w:t>2</w:t>
      </w:r>
      <w:r>
        <w:rPr>
          <w:rFonts w:hint="eastAsia" w:ascii="仿宋" w:hAnsi="仿宋" w:eastAsia="仿宋" w:cs="仿宋"/>
          <w:color w:val="auto"/>
          <w:spacing w:val="3"/>
          <w:sz w:val="28"/>
          <w:szCs w:val="28"/>
          <w:lang w:eastAsia="zh-CN"/>
        </w:rPr>
        <w:t>）</w:t>
      </w:r>
      <w:r>
        <w:rPr>
          <w:rFonts w:hint="eastAsia" w:ascii="仿宋" w:hAnsi="仿宋" w:eastAsia="仿宋" w:cs="仿宋"/>
          <w:color w:val="auto"/>
          <w:spacing w:val="3"/>
          <w:sz w:val="28"/>
          <w:szCs w:val="28"/>
          <w:lang w:val="en-US" w:eastAsia="zh-CN"/>
        </w:rPr>
        <w:t>审计工作</w:t>
      </w:r>
      <w:r>
        <w:rPr>
          <w:rFonts w:hint="eastAsia" w:ascii="仿宋" w:hAnsi="仿宋" w:eastAsia="仿宋" w:cs="仿宋"/>
          <w:color w:val="auto"/>
          <w:spacing w:val="3"/>
          <w:sz w:val="28"/>
          <w:szCs w:val="28"/>
        </w:rPr>
        <w:t>其他要求：供应商按审计时间进度和审计内容制定审计计划，并在规定时限内向采购人出具</w:t>
      </w:r>
      <w:r>
        <w:rPr>
          <w:rFonts w:hint="eastAsia" w:ascii="仿宋" w:hAnsi="仿宋" w:eastAsia="仿宋" w:cs="仿宋"/>
          <w:b/>
          <w:bCs/>
          <w:color w:val="auto"/>
          <w:spacing w:val="3"/>
          <w:sz w:val="28"/>
          <w:szCs w:val="28"/>
          <w:u w:val="single"/>
          <w:lang w:val="en-US" w:eastAsia="zh-CN"/>
        </w:rPr>
        <w:t>风险评估报告</w:t>
      </w:r>
      <w:r>
        <w:rPr>
          <w:rFonts w:hint="eastAsia" w:ascii="仿宋" w:hAnsi="仿宋" w:eastAsia="仿宋" w:cs="仿宋"/>
          <w:color w:val="auto"/>
          <w:spacing w:val="3"/>
          <w:sz w:val="28"/>
          <w:szCs w:val="28"/>
          <w:lang w:val="en-US" w:eastAsia="zh-CN"/>
        </w:rPr>
        <w:t>和</w:t>
      </w:r>
      <w:r>
        <w:rPr>
          <w:rFonts w:hint="eastAsia" w:ascii="仿宋" w:hAnsi="仿宋" w:eastAsia="仿宋" w:cs="仿宋"/>
          <w:b/>
          <w:bCs/>
          <w:color w:val="auto"/>
          <w:spacing w:val="3"/>
          <w:sz w:val="28"/>
          <w:szCs w:val="28"/>
          <w:u w:val="single"/>
          <w:lang w:val="en-US" w:eastAsia="zh-CN"/>
        </w:rPr>
        <w:t>内部控制评价审计报告</w:t>
      </w:r>
      <w:r>
        <w:rPr>
          <w:rFonts w:hint="eastAsia" w:ascii="仿宋" w:hAnsi="仿宋" w:eastAsia="仿宋" w:cs="仿宋"/>
          <w:color w:val="auto"/>
          <w:spacing w:val="3"/>
          <w:sz w:val="28"/>
          <w:szCs w:val="28"/>
          <w:lang w:val="en-US" w:eastAsia="zh-CN"/>
        </w:rPr>
        <w:t>，各</w:t>
      </w:r>
      <w:r>
        <w:rPr>
          <w:rFonts w:hint="eastAsia" w:ascii="仿宋" w:hAnsi="仿宋" w:eastAsia="仿宋" w:cs="仿宋"/>
          <w:color w:val="auto"/>
          <w:spacing w:val="3"/>
          <w:sz w:val="28"/>
          <w:szCs w:val="28"/>
        </w:rPr>
        <w:t>一式五份。</w:t>
      </w:r>
      <w:r>
        <w:rPr>
          <w:rFonts w:hint="eastAsia" w:ascii="仿宋" w:hAnsi="仿宋" w:eastAsia="仿宋" w:cs="仿宋"/>
          <w:color w:val="auto"/>
          <w:spacing w:val="3"/>
          <w:sz w:val="28"/>
          <w:szCs w:val="28"/>
          <w:lang w:eastAsia="zh-CN"/>
        </w:rPr>
        <w:t>（</w:t>
      </w:r>
      <w:r>
        <w:rPr>
          <w:rFonts w:hint="eastAsia" w:ascii="仿宋" w:hAnsi="仿宋" w:eastAsia="仿宋" w:cs="仿宋"/>
          <w:color w:val="auto"/>
          <w:spacing w:val="3"/>
          <w:sz w:val="28"/>
          <w:szCs w:val="28"/>
        </w:rPr>
        <w:t>评审项</w:t>
      </w:r>
      <w:r>
        <w:rPr>
          <w:rFonts w:hint="eastAsia" w:ascii="仿宋" w:hAnsi="仿宋" w:eastAsia="仿宋" w:cs="仿宋"/>
          <w:color w:val="auto"/>
          <w:spacing w:val="3"/>
          <w:sz w:val="28"/>
          <w:szCs w:val="28"/>
          <w:lang w:val="en-US" w:eastAsia="zh-CN"/>
        </w:rPr>
        <w:t>8</w:t>
      </w:r>
      <w:r>
        <w:rPr>
          <w:rFonts w:hint="eastAsia" w:ascii="仿宋" w:hAnsi="仿宋" w:eastAsia="仿宋" w:cs="仿宋"/>
          <w:color w:val="auto"/>
          <w:spacing w:val="3"/>
          <w:sz w:val="28"/>
          <w:szCs w:val="28"/>
          <w:lang w:eastAsia="zh-CN"/>
        </w:rPr>
        <w:t>）</w:t>
      </w:r>
    </w:p>
    <w:p w14:paraId="21C32143">
      <w:pPr>
        <w:keepNext w:val="0"/>
        <w:keepLines w:val="0"/>
        <w:pageBreakBefore w:val="0"/>
        <w:widowControl/>
        <w:kinsoku w:val="0"/>
        <w:wordWrap/>
        <w:overflowPunct/>
        <w:topLinePunct w:val="0"/>
        <w:autoSpaceDE w:val="0"/>
        <w:autoSpaceDN w:val="0"/>
        <w:bidi w:val="0"/>
        <w:adjustRightInd w:val="0"/>
        <w:snapToGrid w:val="0"/>
        <w:spacing w:line="500" w:lineRule="exact"/>
        <w:ind w:left="27" w:right="104" w:firstLine="562" w:firstLineChars="200"/>
        <w:jc w:val="both"/>
        <w:textAlignment w:val="baseline"/>
        <w:rPr>
          <w:rFonts w:hint="eastAsia" w:ascii="仿宋" w:hAnsi="仿宋" w:eastAsia="仿宋" w:cs="仿宋"/>
          <w:color w:val="auto"/>
          <w:spacing w:val="3"/>
          <w:sz w:val="28"/>
          <w:szCs w:val="28"/>
          <w:lang w:eastAsia="zh-CN"/>
        </w:rPr>
      </w:pPr>
      <w:r>
        <w:rPr>
          <w:rFonts w:ascii="宋体" w:hAnsi="宋体" w:eastAsia="宋体" w:cs="宋体"/>
          <w:b/>
          <w:color w:val="auto"/>
          <w:sz w:val="28"/>
          <w:szCs w:val="28"/>
          <w:highlight w:val="none"/>
        </w:rPr>
        <w:t>★</w:t>
      </w:r>
      <w:r>
        <w:rPr>
          <w:rFonts w:hint="eastAsia" w:ascii="仿宋" w:hAnsi="仿宋" w:eastAsia="仿宋" w:cs="仿宋"/>
          <w:color w:val="auto"/>
          <w:spacing w:val="3"/>
          <w:sz w:val="28"/>
          <w:szCs w:val="28"/>
          <w:lang w:eastAsia="zh-CN"/>
        </w:rPr>
        <w:t>（</w:t>
      </w:r>
      <w:r>
        <w:rPr>
          <w:rFonts w:hint="eastAsia" w:ascii="仿宋" w:hAnsi="仿宋" w:eastAsia="仿宋" w:cs="仿宋"/>
          <w:color w:val="auto"/>
          <w:spacing w:val="3"/>
          <w:sz w:val="28"/>
          <w:szCs w:val="28"/>
          <w:lang w:val="en-US" w:eastAsia="zh-CN"/>
        </w:rPr>
        <w:t>3</w:t>
      </w:r>
      <w:r>
        <w:rPr>
          <w:rFonts w:hint="eastAsia" w:ascii="仿宋" w:hAnsi="仿宋" w:eastAsia="仿宋" w:cs="仿宋"/>
          <w:color w:val="auto"/>
          <w:spacing w:val="3"/>
          <w:sz w:val="28"/>
          <w:szCs w:val="28"/>
          <w:lang w:eastAsia="zh-CN"/>
        </w:rPr>
        <w:t>）</w:t>
      </w:r>
      <w:r>
        <w:rPr>
          <w:rFonts w:hint="eastAsia" w:ascii="仿宋" w:hAnsi="仿宋" w:eastAsia="仿宋" w:cs="仿宋"/>
          <w:color w:val="auto"/>
          <w:spacing w:val="3"/>
          <w:sz w:val="28"/>
          <w:szCs w:val="28"/>
        </w:rPr>
        <w:t>审计小组人员要求：具体人员名单以书面表单形式明确，不少于3人，应具有一定工作经验；其中注册会计师不得少于1人，其余人员应具有会计、审计等相关专业中级职称，并提供相关执业或资格证书、劳动关系证明。</w:t>
      </w:r>
      <w:r>
        <w:rPr>
          <w:rFonts w:hint="eastAsia" w:ascii="仿宋" w:hAnsi="仿宋" w:eastAsia="仿宋" w:cs="仿宋"/>
          <w:color w:val="auto"/>
          <w:spacing w:val="3"/>
          <w:sz w:val="28"/>
          <w:szCs w:val="28"/>
          <w:lang w:eastAsia="zh-CN"/>
        </w:rPr>
        <w:t>（</w:t>
      </w:r>
      <w:r>
        <w:rPr>
          <w:rFonts w:hint="eastAsia" w:ascii="仿宋" w:hAnsi="仿宋" w:eastAsia="仿宋" w:cs="仿宋"/>
          <w:color w:val="auto"/>
          <w:spacing w:val="3"/>
          <w:sz w:val="28"/>
          <w:szCs w:val="28"/>
        </w:rPr>
        <w:t>评审项</w:t>
      </w:r>
      <w:r>
        <w:rPr>
          <w:rFonts w:hint="eastAsia" w:ascii="仿宋" w:hAnsi="仿宋" w:eastAsia="仿宋" w:cs="仿宋"/>
          <w:color w:val="auto"/>
          <w:spacing w:val="3"/>
          <w:sz w:val="28"/>
          <w:szCs w:val="28"/>
          <w:lang w:val="en-US" w:eastAsia="zh-CN"/>
        </w:rPr>
        <w:t>9）</w:t>
      </w:r>
    </w:p>
    <w:p w14:paraId="226C01AA">
      <w:pPr>
        <w:keepNext w:val="0"/>
        <w:keepLines w:val="0"/>
        <w:pageBreakBefore w:val="0"/>
        <w:widowControl/>
        <w:kinsoku w:val="0"/>
        <w:wordWrap/>
        <w:overflowPunct/>
        <w:topLinePunct w:val="0"/>
        <w:autoSpaceDE w:val="0"/>
        <w:autoSpaceDN w:val="0"/>
        <w:bidi w:val="0"/>
        <w:adjustRightInd w:val="0"/>
        <w:snapToGrid w:val="0"/>
        <w:spacing w:line="500" w:lineRule="exact"/>
        <w:ind w:left="27" w:right="104" w:firstLine="572" w:firstLineChars="200"/>
        <w:jc w:val="both"/>
        <w:textAlignment w:val="baseline"/>
        <w:rPr>
          <w:rFonts w:hint="eastAsia" w:ascii="仿宋" w:hAnsi="仿宋" w:eastAsia="仿宋" w:cs="仿宋"/>
          <w:color w:val="auto"/>
          <w:spacing w:val="3"/>
          <w:sz w:val="28"/>
          <w:szCs w:val="28"/>
          <w:lang w:eastAsia="zh-CN"/>
        </w:rPr>
      </w:pPr>
      <w:r>
        <w:rPr>
          <w:rFonts w:hint="eastAsia" w:ascii="仿宋" w:hAnsi="仿宋" w:eastAsia="仿宋" w:cs="仿宋"/>
          <w:color w:val="auto"/>
          <w:spacing w:val="3"/>
          <w:sz w:val="28"/>
          <w:szCs w:val="28"/>
          <w:lang w:eastAsia="zh-CN"/>
        </w:rPr>
        <w:t>（</w:t>
      </w:r>
      <w:r>
        <w:rPr>
          <w:rFonts w:hint="eastAsia" w:ascii="仿宋" w:hAnsi="仿宋" w:eastAsia="仿宋" w:cs="仿宋"/>
          <w:color w:val="auto"/>
          <w:spacing w:val="3"/>
          <w:sz w:val="28"/>
          <w:szCs w:val="28"/>
          <w:lang w:val="en-US" w:eastAsia="zh-CN"/>
        </w:rPr>
        <w:t>4</w:t>
      </w:r>
      <w:r>
        <w:rPr>
          <w:rFonts w:hint="eastAsia" w:ascii="仿宋" w:hAnsi="仿宋" w:eastAsia="仿宋" w:cs="仿宋"/>
          <w:color w:val="auto"/>
          <w:spacing w:val="3"/>
          <w:sz w:val="28"/>
          <w:szCs w:val="28"/>
          <w:lang w:eastAsia="zh-CN"/>
        </w:rPr>
        <w:t>）</w:t>
      </w:r>
      <w:r>
        <w:rPr>
          <w:rFonts w:hint="eastAsia" w:ascii="仿宋" w:hAnsi="仿宋" w:eastAsia="仿宋" w:cs="仿宋"/>
          <w:color w:val="auto"/>
          <w:spacing w:val="3"/>
          <w:sz w:val="28"/>
          <w:szCs w:val="28"/>
        </w:rPr>
        <w:t>审计小组人员一经指派，不得随意变动。如遇特殊原因确需变动，必须先征得</w:t>
      </w:r>
      <w:r>
        <w:rPr>
          <w:rFonts w:hint="eastAsia" w:ascii="仿宋" w:hAnsi="仿宋" w:eastAsia="仿宋" w:cs="仿宋"/>
          <w:color w:val="auto"/>
          <w:spacing w:val="3"/>
          <w:sz w:val="28"/>
          <w:szCs w:val="28"/>
          <w:lang w:val="en-US" w:eastAsia="zh-CN"/>
        </w:rPr>
        <w:t>采购人</w:t>
      </w:r>
      <w:r>
        <w:rPr>
          <w:rFonts w:hint="eastAsia" w:ascii="仿宋" w:hAnsi="仿宋" w:eastAsia="仿宋" w:cs="仿宋"/>
          <w:color w:val="auto"/>
          <w:spacing w:val="3"/>
          <w:sz w:val="28"/>
          <w:szCs w:val="28"/>
        </w:rPr>
        <w:t>同意。供应商所提供的专业人员在服务期内，若发现不能胜任工作、违反</w:t>
      </w:r>
      <w:r>
        <w:rPr>
          <w:rFonts w:hint="eastAsia" w:ascii="仿宋" w:hAnsi="仿宋" w:eastAsia="仿宋" w:cs="仿宋"/>
          <w:color w:val="auto"/>
          <w:spacing w:val="3"/>
          <w:sz w:val="28"/>
          <w:szCs w:val="28"/>
          <w:lang w:val="en-US" w:eastAsia="zh-CN"/>
        </w:rPr>
        <w:t>采购人</w:t>
      </w:r>
      <w:r>
        <w:rPr>
          <w:rFonts w:hint="eastAsia" w:ascii="仿宋" w:hAnsi="仿宋" w:eastAsia="仿宋" w:cs="仿宋"/>
          <w:color w:val="auto"/>
          <w:spacing w:val="3"/>
          <w:sz w:val="28"/>
          <w:szCs w:val="28"/>
        </w:rPr>
        <w:t>的纪律等情况，</w:t>
      </w:r>
      <w:r>
        <w:rPr>
          <w:rFonts w:hint="eastAsia" w:ascii="仿宋" w:hAnsi="仿宋" w:eastAsia="仿宋" w:cs="仿宋"/>
          <w:color w:val="auto"/>
          <w:spacing w:val="3"/>
          <w:sz w:val="28"/>
          <w:szCs w:val="28"/>
          <w:lang w:val="en-US" w:eastAsia="zh-CN"/>
        </w:rPr>
        <w:t>采购人</w:t>
      </w:r>
      <w:r>
        <w:rPr>
          <w:rFonts w:hint="eastAsia" w:ascii="仿宋" w:hAnsi="仿宋" w:eastAsia="仿宋" w:cs="仿宋"/>
          <w:color w:val="auto"/>
          <w:spacing w:val="3"/>
          <w:sz w:val="28"/>
          <w:szCs w:val="28"/>
        </w:rPr>
        <w:t>有权要求</w:t>
      </w:r>
      <w:r>
        <w:rPr>
          <w:rFonts w:hint="eastAsia" w:ascii="仿宋" w:hAnsi="仿宋" w:eastAsia="仿宋" w:cs="仿宋"/>
          <w:color w:val="auto"/>
          <w:spacing w:val="3"/>
          <w:sz w:val="28"/>
          <w:szCs w:val="28"/>
          <w:lang w:val="en-US" w:eastAsia="zh-CN"/>
        </w:rPr>
        <w:t>中标人</w:t>
      </w:r>
      <w:r>
        <w:rPr>
          <w:rFonts w:hint="eastAsia" w:ascii="仿宋" w:hAnsi="仿宋" w:eastAsia="仿宋" w:cs="仿宋"/>
          <w:color w:val="auto"/>
          <w:spacing w:val="3"/>
          <w:sz w:val="28"/>
          <w:szCs w:val="28"/>
        </w:rPr>
        <w:t>调换相关专业人员。</w:t>
      </w:r>
      <w:r>
        <w:rPr>
          <w:rFonts w:hint="eastAsia" w:ascii="仿宋" w:hAnsi="仿宋" w:eastAsia="仿宋" w:cs="仿宋"/>
          <w:color w:val="auto"/>
          <w:spacing w:val="3"/>
          <w:sz w:val="28"/>
          <w:szCs w:val="28"/>
          <w:lang w:eastAsia="zh-CN"/>
        </w:rPr>
        <w:t>（</w:t>
      </w:r>
      <w:r>
        <w:rPr>
          <w:rFonts w:hint="eastAsia" w:ascii="仿宋" w:hAnsi="仿宋" w:eastAsia="仿宋" w:cs="仿宋"/>
          <w:color w:val="auto"/>
          <w:spacing w:val="3"/>
          <w:sz w:val="28"/>
          <w:szCs w:val="28"/>
        </w:rPr>
        <w:t>评审项1</w:t>
      </w:r>
      <w:r>
        <w:rPr>
          <w:rFonts w:hint="eastAsia" w:ascii="仿宋" w:hAnsi="仿宋" w:eastAsia="仿宋" w:cs="仿宋"/>
          <w:color w:val="auto"/>
          <w:spacing w:val="3"/>
          <w:sz w:val="28"/>
          <w:szCs w:val="28"/>
          <w:lang w:val="en-US" w:eastAsia="zh-CN"/>
        </w:rPr>
        <w:t>0）</w:t>
      </w:r>
    </w:p>
    <w:p w14:paraId="51B3BC92">
      <w:pPr>
        <w:keepNext w:val="0"/>
        <w:keepLines w:val="0"/>
        <w:pageBreakBefore w:val="0"/>
        <w:widowControl/>
        <w:kinsoku w:val="0"/>
        <w:wordWrap/>
        <w:overflowPunct/>
        <w:topLinePunct w:val="0"/>
        <w:autoSpaceDE w:val="0"/>
        <w:autoSpaceDN w:val="0"/>
        <w:bidi w:val="0"/>
        <w:adjustRightInd w:val="0"/>
        <w:snapToGrid w:val="0"/>
        <w:spacing w:line="500" w:lineRule="exact"/>
        <w:ind w:left="27" w:right="104" w:firstLine="572" w:firstLineChars="200"/>
        <w:jc w:val="both"/>
        <w:textAlignment w:val="baseline"/>
        <w:rPr>
          <w:rFonts w:hint="eastAsia" w:ascii="仿宋" w:hAnsi="仿宋" w:eastAsia="仿宋" w:cs="仿宋"/>
          <w:color w:val="auto"/>
          <w:spacing w:val="3"/>
          <w:sz w:val="28"/>
          <w:szCs w:val="28"/>
          <w:lang w:val="en-US" w:eastAsia="zh-CN"/>
        </w:rPr>
      </w:pPr>
      <w:r>
        <w:rPr>
          <w:rFonts w:hint="eastAsia" w:ascii="仿宋" w:hAnsi="仿宋" w:eastAsia="仿宋" w:cs="仿宋"/>
          <w:color w:val="auto"/>
          <w:spacing w:val="3"/>
          <w:sz w:val="28"/>
          <w:szCs w:val="28"/>
          <w:lang w:eastAsia="zh-CN"/>
        </w:rPr>
        <w:t>（</w:t>
      </w:r>
      <w:r>
        <w:rPr>
          <w:rFonts w:hint="eastAsia" w:ascii="仿宋" w:hAnsi="仿宋" w:eastAsia="仿宋" w:cs="仿宋"/>
          <w:color w:val="auto"/>
          <w:spacing w:val="3"/>
          <w:sz w:val="28"/>
          <w:szCs w:val="28"/>
          <w:lang w:val="en-US" w:eastAsia="zh-CN"/>
        </w:rPr>
        <w:t>5</w:t>
      </w:r>
      <w:r>
        <w:rPr>
          <w:rFonts w:hint="eastAsia" w:ascii="仿宋" w:hAnsi="仿宋" w:eastAsia="仿宋" w:cs="仿宋"/>
          <w:color w:val="auto"/>
          <w:spacing w:val="3"/>
          <w:sz w:val="28"/>
          <w:szCs w:val="28"/>
          <w:lang w:eastAsia="zh-CN"/>
        </w:rPr>
        <w:t>）</w:t>
      </w:r>
      <w:r>
        <w:rPr>
          <w:rFonts w:hint="eastAsia" w:ascii="仿宋" w:hAnsi="仿宋" w:eastAsia="仿宋" w:cs="仿宋"/>
          <w:color w:val="auto"/>
          <w:spacing w:val="3"/>
          <w:sz w:val="28"/>
          <w:szCs w:val="28"/>
          <w:lang w:val="en-US" w:eastAsia="zh-CN"/>
        </w:rPr>
        <w:t>供应商</w:t>
      </w:r>
      <w:r>
        <w:rPr>
          <w:rFonts w:hint="eastAsia" w:ascii="仿宋" w:hAnsi="仿宋" w:eastAsia="仿宋" w:cs="仿宋"/>
          <w:color w:val="auto"/>
          <w:spacing w:val="3"/>
          <w:sz w:val="28"/>
          <w:szCs w:val="28"/>
        </w:rPr>
        <w:t>对审计过程中知悉的商业秘密负有保密责任，除法律法规另有规定外，未经</w:t>
      </w:r>
      <w:r>
        <w:rPr>
          <w:rFonts w:hint="eastAsia" w:ascii="仿宋" w:hAnsi="仿宋" w:eastAsia="仿宋" w:cs="仿宋"/>
          <w:color w:val="auto"/>
          <w:spacing w:val="3"/>
          <w:sz w:val="28"/>
          <w:szCs w:val="28"/>
          <w:lang w:val="en-US" w:eastAsia="zh-CN"/>
        </w:rPr>
        <w:t>采购人</w:t>
      </w:r>
      <w:r>
        <w:rPr>
          <w:rFonts w:hint="eastAsia" w:ascii="仿宋" w:hAnsi="仿宋" w:eastAsia="仿宋" w:cs="仿宋"/>
          <w:color w:val="auto"/>
          <w:spacing w:val="3"/>
          <w:sz w:val="28"/>
          <w:szCs w:val="28"/>
        </w:rPr>
        <w:t>同意，</w:t>
      </w:r>
      <w:r>
        <w:rPr>
          <w:rFonts w:hint="eastAsia" w:ascii="仿宋" w:hAnsi="仿宋" w:eastAsia="仿宋" w:cs="仿宋"/>
          <w:color w:val="auto"/>
          <w:spacing w:val="3"/>
          <w:sz w:val="28"/>
          <w:szCs w:val="28"/>
          <w:lang w:val="en-US" w:eastAsia="zh-CN"/>
        </w:rPr>
        <w:t>供应商</w:t>
      </w:r>
      <w:r>
        <w:rPr>
          <w:rFonts w:hint="eastAsia" w:ascii="仿宋" w:hAnsi="仿宋" w:eastAsia="仿宋" w:cs="仿宋"/>
          <w:color w:val="auto"/>
          <w:spacing w:val="3"/>
          <w:sz w:val="28"/>
          <w:szCs w:val="28"/>
        </w:rPr>
        <w:t>不得将审计报告及</w:t>
      </w:r>
      <w:r>
        <w:rPr>
          <w:rFonts w:hint="eastAsia" w:ascii="仿宋" w:hAnsi="仿宋" w:eastAsia="仿宋" w:cs="仿宋"/>
          <w:color w:val="auto"/>
          <w:spacing w:val="3"/>
          <w:sz w:val="28"/>
          <w:szCs w:val="28"/>
          <w:lang w:val="en-US" w:eastAsia="zh-CN"/>
        </w:rPr>
        <w:t>采购人</w:t>
      </w:r>
      <w:r>
        <w:rPr>
          <w:rFonts w:hint="eastAsia" w:ascii="仿宋" w:hAnsi="仿宋" w:eastAsia="仿宋" w:cs="仿宋"/>
          <w:color w:val="auto"/>
          <w:spacing w:val="3"/>
          <w:sz w:val="28"/>
          <w:szCs w:val="28"/>
        </w:rPr>
        <w:t>提供的资</w:t>
      </w:r>
      <w:r>
        <w:rPr>
          <w:rFonts w:hint="eastAsia" w:ascii="仿宋" w:hAnsi="仿宋" w:eastAsia="仿宋" w:cs="仿宋"/>
          <w:color w:val="auto"/>
          <w:spacing w:val="3"/>
          <w:sz w:val="28"/>
          <w:szCs w:val="28"/>
          <w:lang w:val="en-US" w:eastAsia="zh-CN"/>
        </w:rPr>
        <w:t>料泄露给采购人之外的第三人。</w:t>
      </w:r>
      <w:r>
        <w:rPr>
          <w:rFonts w:hint="eastAsia" w:ascii="仿宋" w:hAnsi="仿宋" w:eastAsia="仿宋" w:cs="仿宋"/>
          <w:color w:val="auto"/>
          <w:spacing w:val="3"/>
          <w:sz w:val="28"/>
          <w:szCs w:val="28"/>
          <w:lang w:eastAsia="zh-CN"/>
        </w:rPr>
        <w:t>（</w:t>
      </w:r>
      <w:r>
        <w:rPr>
          <w:rFonts w:hint="eastAsia" w:ascii="仿宋" w:hAnsi="仿宋" w:eastAsia="仿宋" w:cs="仿宋"/>
          <w:color w:val="auto"/>
          <w:spacing w:val="3"/>
          <w:sz w:val="28"/>
          <w:szCs w:val="28"/>
          <w:lang w:val="en-US" w:eastAsia="zh-CN"/>
        </w:rPr>
        <w:t>评审项11）</w:t>
      </w:r>
    </w:p>
    <w:p w14:paraId="38C31A1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firstLine="538" w:firstLineChars="200"/>
        <w:jc w:val="both"/>
        <w:textAlignment w:val="baseline"/>
        <w:rPr>
          <w:rFonts w:hint="eastAsia" w:ascii="仿宋" w:hAnsi="仿宋" w:eastAsia="仿宋" w:cs="仿宋"/>
          <w:b/>
          <w:bCs/>
          <w:color w:val="auto"/>
          <w:spacing w:val="-6"/>
          <w:sz w:val="28"/>
          <w:szCs w:val="28"/>
          <w:lang w:val="en-US" w:eastAsia="zh-CN"/>
        </w:rPr>
      </w:pPr>
      <w:r>
        <w:rPr>
          <w:rFonts w:hint="eastAsia" w:ascii="仿宋" w:hAnsi="仿宋" w:eastAsia="仿宋" w:cs="仿宋"/>
          <w:b/>
          <w:bCs/>
          <w:color w:val="auto"/>
          <w:spacing w:val="-6"/>
          <w:sz w:val="28"/>
          <w:szCs w:val="28"/>
          <w:lang w:val="en-US" w:eastAsia="zh-CN"/>
        </w:rPr>
        <w:t>三、商务要求</w:t>
      </w:r>
    </w:p>
    <w:p w14:paraId="6E2C8087">
      <w:pPr>
        <w:keepNext w:val="0"/>
        <w:keepLines w:val="0"/>
        <w:pageBreakBefore w:val="0"/>
        <w:widowControl/>
        <w:kinsoku w:val="0"/>
        <w:wordWrap/>
        <w:overflowPunct/>
        <w:topLinePunct w:val="0"/>
        <w:autoSpaceDE w:val="0"/>
        <w:autoSpaceDN w:val="0"/>
        <w:bidi w:val="0"/>
        <w:adjustRightInd w:val="0"/>
        <w:snapToGrid w:val="0"/>
        <w:spacing w:line="500" w:lineRule="exact"/>
        <w:ind w:left="27" w:right="104" w:firstLine="572" w:firstLineChars="200"/>
        <w:jc w:val="both"/>
        <w:textAlignment w:val="baseline"/>
        <w:rPr>
          <w:rFonts w:hint="eastAsia" w:ascii="仿宋" w:hAnsi="仿宋" w:eastAsia="仿宋" w:cs="仿宋"/>
          <w:color w:val="auto"/>
          <w:spacing w:val="3"/>
          <w:sz w:val="28"/>
          <w:szCs w:val="28"/>
          <w:lang w:val="en-US" w:eastAsia="zh-CN"/>
        </w:rPr>
      </w:pPr>
      <w:r>
        <w:rPr>
          <w:rFonts w:hint="eastAsia" w:ascii="仿宋" w:hAnsi="仿宋" w:eastAsia="仿宋" w:cs="仿宋"/>
          <w:color w:val="auto"/>
          <w:spacing w:val="3"/>
          <w:sz w:val="28"/>
          <w:szCs w:val="28"/>
          <w:lang w:val="en-US" w:eastAsia="zh-CN"/>
        </w:rPr>
        <w:t>1.支付要求：以征求医院意见后出具正式审计报告，中标人开具正式发票，采购人收到中标人提交的正式发票后30日内支付。</w:t>
      </w:r>
    </w:p>
    <w:p w14:paraId="36CEC815">
      <w:pPr>
        <w:keepNext w:val="0"/>
        <w:keepLines w:val="0"/>
        <w:pageBreakBefore w:val="0"/>
        <w:widowControl/>
        <w:kinsoku w:val="0"/>
        <w:wordWrap/>
        <w:overflowPunct/>
        <w:topLinePunct w:val="0"/>
        <w:autoSpaceDE w:val="0"/>
        <w:autoSpaceDN w:val="0"/>
        <w:bidi w:val="0"/>
        <w:adjustRightInd w:val="0"/>
        <w:snapToGrid w:val="0"/>
        <w:spacing w:line="500" w:lineRule="exact"/>
        <w:ind w:left="27" w:right="104" w:firstLine="572" w:firstLineChars="200"/>
        <w:jc w:val="both"/>
        <w:textAlignment w:val="baseline"/>
        <w:rPr>
          <w:rFonts w:hint="eastAsia" w:ascii="仿宋" w:hAnsi="仿宋" w:eastAsia="仿宋" w:cs="仿宋"/>
          <w:color w:val="auto"/>
          <w:spacing w:val="3"/>
          <w:sz w:val="28"/>
          <w:szCs w:val="28"/>
          <w:lang w:val="en-US" w:eastAsia="zh-CN"/>
        </w:rPr>
      </w:pPr>
      <w:r>
        <w:rPr>
          <w:rFonts w:hint="eastAsia" w:ascii="仿宋" w:hAnsi="仿宋" w:eastAsia="仿宋" w:cs="仿宋"/>
          <w:color w:val="auto"/>
          <w:spacing w:val="3"/>
          <w:sz w:val="28"/>
          <w:szCs w:val="28"/>
          <w:lang w:val="en-US" w:eastAsia="zh-CN"/>
        </w:rPr>
        <w:t>2.验收标准：以征求医院意见后出具正式审计报告为准。</w:t>
      </w:r>
      <w:bookmarkStart w:id="3" w:name="_GoBack"/>
      <w:bookmarkEnd w:id="3"/>
    </w:p>
    <w:p w14:paraId="211C24D3">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仿宋" w:hAnsi="仿宋" w:eastAsia="仿宋" w:cs="仿宋"/>
          <w:color w:val="auto"/>
          <w:sz w:val="28"/>
          <w:szCs w:val="28"/>
        </w:rPr>
      </w:pPr>
    </w:p>
    <w:p w14:paraId="32109218">
      <w:pPr>
        <w:pStyle w:val="14"/>
        <w:rPr>
          <w:rFonts w:hint="eastAsia" w:ascii="仿宋" w:hAnsi="仿宋" w:eastAsia="仿宋" w:cs="仿宋"/>
          <w:color w:val="auto"/>
          <w:sz w:val="28"/>
          <w:szCs w:val="28"/>
        </w:rPr>
      </w:pPr>
    </w:p>
    <w:p w14:paraId="36D69C59">
      <w:pPr>
        <w:pStyle w:val="14"/>
        <w:rPr>
          <w:rFonts w:hint="eastAsia" w:ascii="仿宋" w:hAnsi="仿宋" w:eastAsia="仿宋" w:cs="仿宋"/>
          <w:color w:val="auto"/>
          <w:sz w:val="28"/>
          <w:szCs w:val="28"/>
        </w:rPr>
      </w:pPr>
    </w:p>
    <w:p w14:paraId="1B28AF0E">
      <w:pPr>
        <w:pStyle w:val="14"/>
        <w:rPr>
          <w:rFonts w:hint="eastAsia" w:ascii="仿宋" w:hAnsi="仿宋" w:eastAsia="仿宋" w:cs="仿宋"/>
          <w:color w:val="auto"/>
          <w:sz w:val="28"/>
          <w:szCs w:val="28"/>
        </w:rPr>
      </w:pPr>
    </w:p>
    <w:p w14:paraId="0A4C7445">
      <w:pPr>
        <w:pStyle w:val="14"/>
        <w:rPr>
          <w:rFonts w:hint="eastAsia" w:ascii="仿宋" w:hAnsi="仿宋" w:eastAsia="仿宋" w:cs="仿宋"/>
          <w:color w:val="auto"/>
          <w:sz w:val="28"/>
          <w:szCs w:val="28"/>
        </w:rPr>
      </w:pPr>
    </w:p>
    <w:p w14:paraId="03ED4BEA">
      <w:pPr>
        <w:pStyle w:val="14"/>
        <w:rPr>
          <w:rFonts w:hint="eastAsia" w:ascii="仿宋" w:hAnsi="仿宋" w:eastAsia="仿宋" w:cs="仿宋"/>
          <w:color w:val="auto"/>
          <w:sz w:val="28"/>
          <w:szCs w:val="28"/>
        </w:rPr>
      </w:pPr>
    </w:p>
    <w:p w14:paraId="74A370B1">
      <w:pPr>
        <w:pStyle w:val="14"/>
        <w:rPr>
          <w:rFonts w:hint="eastAsia" w:ascii="仿宋" w:hAnsi="仿宋" w:eastAsia="仿宋" w:cs="仿宋"/>
          <w:color w:val="auto"/>
          <w:sz w:val="28"/>
          <w:szCs w:val="28"/>
        </w:rPr>
      </w:pPr>
    </w:p>
    <w:p w14:paraId="683C058F">
      <w:pPr>
        <w:pStyle w:val="14"/>
        <w:rPr>
          <w:rFonts w:hint="eastAsia" w:ascii="仿宋" w:hAnsi="仿宋" w:eastAsia="仿宋" w:cs="仿宋"/>
          <w:color w:val="auto"/>
          <w:sz w:val="28"/>
          <w:szCs w:val="28"/>
        </w:rPr>
      </w:pPr>
    </w:p>
    <w:p w14:paraId="795EC7FE">
      <w:pPr>
        <w:pStyle w:val="14"/>
        <w:rPr>
          <w:rFonts w:hint="eastAsia" w:ascii="仿宋" w:hAnsi="仿宋" w:eastAsia="仿宋" w:cs="仿宋"/>
          <w:color w:val="auto"/>
          <w:sz w:val="28"/>
          <w:szCs w:val="28"/>
        </w:rPr>
      </w:pPr>
    </w:p>
    <w:p w14:paraId="3AB06098">
      <w:pPr>
        <w:pStyle w:val="14"/>
        <w:rPr>
          <w:rFonts w:hint="eastAsia" w:ascii="仿宋" w:hAnsi="仿宋" w:eastAsia="仿宋" w:cs="仿宋"/>
          <w:color w:val="auto"/>
          <w:sz w:val="28"/>
          <w:szCs w:val="28"/>
        </w:rPr>
      </w:pPr>
    </w:p>
    <w:p w14:paraId="1439C548">
      <w:pPr>
        <w:pStyle w:val="14"/>
        <w:rPr>
          <w:rFonts w:hint="eastAsia" w:ascii="仿宋" w:hAnsi="仿宋" w:eastAsia="仿宋" w:cs="仿宋"/>
          <w:color w:val="auto"/>
          <w:sz w:val="28"/>
          <w:szCs w:val="28"/>
        </w:rPr>
      </w:pPr>
    </w:p>
    <w:p w14:paraId="267C530D">
      <w:pPr>
        <w:pStyle w:val="14"/>
        <w:rPr>
          <w:rFonts w:hint="eastAsia" w:ascii="仿宋" w:hAnsi="仿宋" w:eastAsia="仿宋" w:cs="仿宋"/>
          <w:color w:val="auto"/>
          <w:sz w:val="28"/>
          <w:szCs w:val="28"/>
        </w:rPr>
      </w:pPr>
    </w:p>
    <w:p w14:paraId="41DDE1D9">
      <w:pPr>
        <w:pStyle w:val="14"/>
        <w:rPr>
          <w:rFonts w:hint="eastAsia" w:ascii="仿宋" w:hAnsi="仿宋" w:eastAsia="仿宋" w:cs="仿宋"/>
          <w:color w:val="auto"/>
          <w:sz w:val="28"/>
          <w:szCs w:val="28"/>
        </w:rPr>
      </w:pPr>
    </w:p>
    <w:p w14:paraId="4A76B445">
      <w:pPr>
        <w:pStyle w:val="14"/>
        <w:rPr>
          <w:rFonts w:hint="eastAsia" w:ascii="仿宋" w:hAnsi="仿宋" w:eastAsia="仿宋" w:cs="仿宋"/>
          <w:color w:val="auto"/>
          <w:sz w:val="28"/>
          <w:szCs w:val="28"/>
        </w:rPr>
      </w:pPr>
    </w:p>
    <w:p w14:paraId="15B17E60">
      <w:pPr>
        <w:pStyle w:val="14"/>
        <w:rPr>
          <w:rFonts w:hint="eastAsia" w:ascii="仿宋" w:hAnsi="仿宋" w:eastAsia="仿宋" w:cs="仿宋"/>
          <w:color w:val="auto"/>
          <w:sz w:val="28"/>
          <w:szCs w:val="28"/>
        </w:rPr>
      </w:pPr>
    </w:p>
    <w:p w14:paraId="323145A9">
      <w:pPr>
        <w:pStyle w:val="14"/>
        <w:rPr>
          <w:rFonts w:hint="eastAsia" w:ascii="仿宋" w:hAnsi="仿宋" w:eastAsia="仿宋" w:cs="仿宋"/>
          <w:color w:val="auto"/>
          <w:sz w:val="28"/>
          <w:szCs w:val="28"/>
        </w:rPr>
      </w:pPr>
    </w:p>
    <w:p w14:paraId="2BA28919">
      <w:pPr>
        <w:pStyle w:val="14"/>
        <w:rPr>
          <w:rFonts w:hint="eastAsia" w:ascii="仿宋" w:hAnsi="仿宋" w:eastAsia="仿宋" w:cs="仿宋"/>
          <w:color w:val="auto"/>
          <w:sz w:val="28"/>
          <w:szCs w:val="28"/>
        </w:rPr>
      </w:pPr>
    </w:p>
    <w:p w14:paraId="32E00D29">
      <w:pPr>
        <w:pStyle w:val="14"/>
        <w:rPr>
          <w:rFonts w:hint="eastAsia" w:ascii="仿宋" w:hAnsi="仿宋" w:eastAsia="仿宋" w:cs="仿宋"/>
          <w:color w:val="auto"/>
          <w:sz w:val="28"/>
          <w:szCs w:val="28"/>
        </w:rPr>
      </w:pPr>
    </w:p>
    <w:p w14:paraId="5B97D008">
      <w:pPr>
        <w:pStyle w:val="14"/>
        <w:rPr>
          <w:rFonts w:hint="eastAsia" w:ascii="仿宋" w:hAnsi="仿宋" w:eastAsia="仿宋" w:cs="仿宋"/>
          <w:color w:val="auto"/>
          <w:sz w:val="28"/>
          <w:szCs w:val="28"/>
        </w:rPr>
      </w:pPr>
    </w:p>
    <w:p w14:paraId="2B8D48B4">
      <w:pPr>
        <w:pStyle w:val="14"/>
        <w:rPr>
          <w:rFonts w:hint="eastAsia" w:ascii="仿宋" w:hAnsi="仿宋" w:eastAsia="仿宋" w:cs="仿宋"/>
          <w:color w:val="auto"/>
          <w:sz w:val="28"/>
          <w:szCs w:val="28"/>
        </w:rPr>
      </w:pPr>
    </w:p>
    <w:p w14:paraId="710B67F2">
      <w:pPr>
        <w:pStyle w:val="14"/>
        <w:rPr>
          <w:rFonts w:hint="eastAsia" w:ascii="仿宋" w:hAnsi="仿宋" w:eastAsia="仿宋" w:cs="仿宋"/>
          <w:color w:val="auto"/>
          <w:sz w:val="28"/>
          <w:szCs w:val="28"/>
        </w:rPr>
      </w:pPr>
    </w:p>
    <w:p w14:paraId="0A4F8C53">
      <w:pPr>
        <w:pStyle w:val="14"/>
        <w:rPr>
          <w:rFonts w:hint="eastAsia" w:ascii="仿宋" w:hAnsi="仿宋" w:eastAsia="仿宋" w:cs="仿宋"/>
          <w:color w:val="auto"/>
          <w:sz w:val="28"/>
          <w:szCs w:val="28"/>
        </w:rPr>
      </w:pPr>
    </w:p>
    <w:p w14:paraId="1AACB847">
      <w:pPr>
        <w:pStyle w:val="14"/>
        <w:rPr>
          <w:rFonts w:hint="eastAsia" w:ascii="仿宋" w:hAnsi="仿宋" w:eastAsia="仿宋" w:cs="仿宋"/>
          <w:color w:val="auto"/>
          <w:sz w:val="24"/>
          <w:szCs w:val="24"/>
        </w:rPr>
      </w:pPr>
    </w:p>
    <w:p w14:paraId="79E6783F">
      <w:pPr>
        <w:pStyle w:val="14"/>
        <w:rPr>
          <w:rFonts w:hint="eastAsia" w:ascii="仿宋" w:hAnsi="仿宋" w:eastAsia="仿宋" w:cs="仿宋"/>
          <w:color w:val="auto"/>
          <w:sz w:val="24"/>
          <w:szCs w:val="24"/>
        </w:rPr>
      </w:pPr>
    </w:p>
    <w:p w14:paraId="760D795A">
      <w:pPr>
        <w:pStyle w:val="14"/>
        <w:rPr>
          <w:rFonts w:hint="eastAsia" w:ascii="仿宋" w:hAnsi="仿宋" w:eastAsia="仿宋" w:cs="仿宋"/>
          <w:color w:val="auto"/>
          <w:sz w:val="24"/>
          <w:szCs w:val="24"/>
        </w:rPr>
      </w:pPr>
    </w:p>
    <w:p w14:paraId="254B0F51">
      <w:pPr>
        <w:pStyle w:val="14"/>
        <w:rPr>
          <w:rFonts w:hint="eastAsia" w:ascii="仿宋" w:hAnsi="仿宋" w:eastAsia="仿宋" w:cs="仿宋"/>
          <w:color w:val="auto"/>
          <w:sz w:val="24"/>
          <w:szCs w:val="24"/>
        </w:rPr>
      </w:pPr>
    </w:p>
    <w:p w14:paraId="449E0619">
      <w:pPr>
        <w:pStyle w:val="14"/>
        <w:rPr>
          <w:rFonts w:hint="eastAsia" w:ascii="仿宋" w:hAnsi="仿宋" w:eastAsia="仿宋" w:cs="仿宋"/>
          <w:color w:val="auto"/>
          <w:sz w:val="24"/>
          <w:szCs w:val="24"/>
        </w:rPr>
      </w:pPr>
    </w:p>
    <w:p w14:paraId="796FD99E">
      <w:pPr>
        <w:spacing w:before="114" w:line="228" w:lineRule="auto"/>
        <w:ind w:left="2478"/>
        <w:outlineLvl w:val="0"/>
        <w:rPr>
          <w:rFonts w:ascii="Arial"/>
          <w:color w:val="auto"/>
          <w:sz w:val="21"/>
        </w:rPr>
      </w:pPr>
      <w:r>
        <w:rPr>
          <w:rFonts w:ascii="仿宋" w:hAnsi="仿宋" w:eastAsia="仿宋" w:cs="仿宋"/>
          <w:b/>
          <w:bCs/>
          <w:color w:val="auto"/>
          <w:spacing w:val="4"/>
          <w:sz w:val="35"/>
          <w:szCs w:val="35"/>
        </w:rPr>
        <w:t>第</w:t>
      </w:r>
      <w:r>
        <w:rPr>
          <w:rFonts w:hint="eastAsia" w:ascii="仿宋" w:hAnsi="仿宋" w:eastAsia="仿宋" w:cs="仿宋"/>
          <w:b/>
          <w:bCs/>
          <w:color w:val="auto"/>
          <w:spacing w:val="4"/>
          <w:sz w:val="35"/>
          <w:szCs w:val="35"/>
          <w:lang w:val="en-US" w:eastAsia="zh-CN"/>
        </w:rPr>
        <w:t>四</w:t>
      </w:r>
      <w:r>
        <w:rPr>
          <w:rFonts w:ascii="仿宋" w:hAnsi="仿宋" w:eastAsia="仿宋" w:cs="仿宋"/>
          <w:b/>
          <w:bCs/>
          <w:color w:val="auto"/>
          <w:spacing w:val="4"/>
          <w:sz w:val="35"/>
          <w:szCs w:val="35"/>
        </w:rPr>
        <w:t>部分</w:t>
      </w:r>
      <w:r>
        <w:rPr>
          <w:rFonts w:ascii="仿宋" w:hAnsi="仿宋" w:eastAsia="仿宋" w:cs="仿宋"/>
          <w:color w:val="auto"/>
          <w:spacing w:val="4"/>
          <w:sz w:val="35"/>
          <w:szCs w:val="35"/>
        </w:rPr>
        <w:t xml:space="preserve">  </w:t>
      </w:r>
      <w:r>
        <w:rPr>
          <w:rFonts w:ascii="仿宋" w:hAnsi="仿宋" w:eastAsia="仿宋" w:cs="仿宋"/>
          <w:b/>
          <w:bCs/>
          <w:color w:val="auto"/>
          <w:spacing w:val="4"/>
          <w:sz w:val="35"/>
          <w:szCs w:val="35"/>
        </w:rPr>
        <w:t>采购文件的组成</w:t>
      </w:r>
    </w:p>
    <w:p w14:paraId="790B9AAC">
      <w:pPr>
        <w:spacing w:line="283" w:lineRule="auto"/>
        <w:rPr>
          <w:rFonts w:ascii="Arial"/>
          <w:color w:val="auto"/>
          <w:sz w:val="21"/>
        </w:rPr>
      </w:pPr>
    </w:p>
    <w:p w14:paraId="28D6E042">
      <w:pPr>
        <w:spacing w:before="78" w:line="222" w:lineRule="auto"/>
        <w:ind w:left="3179"/>
        <w:rPr>
          <w:rFonts w:ascii="仿宋" w:hAnsi="仿宋" w:eastAsia="仿宋" w:cs="仿宋"/>
          <w:color w:val="auto"/>
          <w:sz w:val="24"/>
          <w:szCs w:val="24"/>
        </w:rPr>
      </w:pPr>
      <w:r>
        <w:rPr>
          <w:rFonts w:ascii="仿宋" w:hAnsi="仿宋" w:eastAsia="仿宋" w:cs="仿宋"/>
          <w:b/>
          <w:bCs/>
          <w:color w:val="auto"/>
          <w:spacing w:val="-4"/>
          <w:sz w:val="24"/>
          <w:szCs w:val="24"/>
        </w:rPr>
        <w:t>（包含但不限于以下要求）</w:t>
      </w:r>
    </w:p>
    <w:p w14:paraId="541AE97C">
      <w:pPr>
        <w:spacing w:line="442" w:lineRule="auto"/>
        <w:rPr>
          <w:rFonts w:ascii="Arial"/>
          <w:color w:val="auto"/>
          <w:sz w:val="21"/>
        </w:rPr>
      </w:pPr>
    </w:p>
    <w:p w14:paraId="36046327">
      <w:pPr>
        <w:spacing w:line="270" w:lineRule="auto"/>
        <w:ind w:firstLine="232" w:firstLineChars="100"/>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（1）资格及资信证明部分</w:t>
      </w:r>
    </w:p>
    <w:p w14:paraId="65A672FF">
      <w:pPr>
        <w:spacing w:line="270" w:lineRule="auto"/>
        <w:ind w:firstLine="232" w:firstLineChars="100"/>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①投标函</w:t>
      </w:r>
    </w:p>
    <w:p w14:paraId="3CBFE8A1">
      <w:pPr>
        <w:spacing w:line="270" w:lineRule="auto"/>
        <w:ind w:firstLine="232" w:firstLineChars="100"/>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②投标人的资格及资信证明文件</w:t>
      </w:r>
    </w:p>
    <w:p w14:paraId="528D9A3E">
      <w:pPr>
        <w:spacing w:line="270" w:lineRule="auto"/>
        <w:rPr>
          <w:rFonts w:hint="eastAsia" w:ascii="仿宋" w:hAnsi="仿宋" w:eastAsia="仿宋" w:cs="仿宋"/>
          <w:color w:val="auto"/>
          <w:spacing w:val="-4"/>
          <w:sz w:val="24"/>
          <w:szCs w:val="24"/>
        </w:rPr>
      </w:pPr>
    </w:p>
    <w:p w14:paraId="71DBDE87">
      <w:pPr>
        <w:spacing w:line="270" w:lineRule="auto"/>
        <w:ind w:firstLine="232" w:firstLineChars="100"/>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（2）技术商务部分</w:t>
      </w:r>
    </w:p>
    <w:p w14:paraId="0B952141">
      <w:pPr>
        <w:spacing w:line="270" w:lineRule="auto"/>
        <w:ind w:firstLine="232" w:firstLineChars="100"/>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①技术和商务条件要求响应表</w:t>
      </w:r>
    </w:p>
    <w:p w14:paraId="10639E34">
      <w:pPr>
        <w:spacing w:line="270" w:lineRule="auto"/>
        <w:ind w:firstLine="232" w:firstLineChars="100"/>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②投标人提交的其他资料（若有）</w:t>
      </w:r>
    </w:p>
    <w:p w14:paraId="22C9F463">
      <w:pPr>
        <w:spacing w:line="270" w:lineRule="auto"/>
        <w:ind w:firstLine="232" w:firstLineChars="100"/>
        <w:rPr>
          <w:rFonts w:ascii="Arial"/>
          <w:color w:val="auto"/>
          <w:sz w:val="24"/>
          <w:szCs w:val="24"/>
        </w:rPr>
      </w:pPr>
      <w:r>
        <w:rPr>
          <w:rFonts w:hint="eastAsia" w:ascii="仿宋" w:hAnsi="仿宋" w:eastAsia="仿宋" w:cs="仿宋"/>
          <w:color w:val="auto"/>
          <w:spacing w:val="-4"/>
          <w:sz w:val="24"/>
          <w:szCs w:val="24"/>
        </w:rPr>
        <w:t>③招标文件规定作为投标文件组成部分的其他内容（若有）</w:t>
      </w:r>
    </w:p>
    <w:p w14:paraId="741A8B02">
      <w:pPr>
        <w:spacing w:line="270" w:lineRule="auto"/>
        <w:rPr>
          <w:rFonts w:ascii="Arial"/>
          <w:color w:val="auto"/>
          <w:sz w:val="21"/>
        </w:rPr>
      </w:pPr>
    </w:p>
    <w:p w14:paraId="489DF2DD">
      <w:pPr>
        <w:spacing w:line="270" w:lineRule="auto"/>
        <w:rPr>
          <w:rFonts w:ascii="Arial"/>
          <w:color w:val="auto"/>
          <w:sz w:val="21"/>
        </w:rPr>
      </w:pPr>
    </w:p>
    <w:p w14:paraId="4172241E">
      <w:pPr>
        <w:spacing w:line="271" w:lineRule="auto"/>
        <w:rPr>
          <w:rFonts w:ascii="Arial"/>
          <w:color w:val="auto"/>
          <w:sz w:val="21"/>
        </w:rPr>
      </w:pPr>
    </w:p>
    <w:p w14:paraId="29AD57F7">
      <w:pPr>
        <w:spacing w:before="78" w:line="220" w:lineRule="auto"/>
        <w:rPr>
          <w:rFonts w:ascii="仿宋" w:hAnsi="仿宋" w:eastAsia="仿宋" w:cs="仿宋"/>
          <w:color w:val="auto"/>
          <w:sz w:val="24"/>
          <w:szCs w:val="24"/>
        </w:rPr>
      </w:pPr>
      <w:r>
        <w:rPr>
          <w:rFonts w:ascii="仿宋" w:hAnsi="仿宋" w:eastAsia="仿宋" w:cs="仿宋"/>
          <w:b/>
          <w:bCs/>
          <w:color w:val="auto"/>
          <w:spacing w:val="-6"/>
          <w:sz w:val="24"/>
          <w:szCs w:val="24"/>
          <w:u w:val="single" w:color="auto"/>
        </w:rPr>
        <w:t>以上材料每页均需加盖公章</w:t>
      </w:r>
    </w:p>
    <w:p w14:paraId="508F7F8D">
      <w:pPr>
        <w:spacing w:line="220" w:lineRule="auto"/>
        <w:rPr>
          <w:rFonts w:ascii="仿宋" w:hAnsi="仿宋" w:eastAsia="仿宋" w:cs="仿宋"/>
          <w:color w:val="auto"/>
          <w:sz w:val="24"/>
          <w:szCs w:val="24"/>
        </w:rPr>
        <w:sectPr>
          <w:footerReference r:id="rId9" w:type="default"/>
          <w:pgSz w:w="11906" w:h="16838"/>
          <w:pgMar w:top="1701" w:right="1474" w:bottom="1417" w:left="1474" w:header="0" w:footer="1072" w:gutter="0"/>
          <w:pgNumType w:fmt="decimal"/>
          <w:cols w:space="720" w:num="1"/>
        </w:sectPr>
      </w:pPr>
    </w:p>
    <w:p w14:paraId="3D6A73FA">
      <w:pPr>
        <w:spacing w:before="91" w:line="223" w:lineRule="auto"/>
        <w:jc w:val="center"/>
        <w:rPr>
          <w:rFonts w:ascii="仿宋" w:hAnsi="仿宋" w:eastAsia="仿宋" w:cs="仿宋"/>
          <w:color w:val="auto"/>
          <w:sz w:val="28"/>
          <w:szCs w:val="28"/>
        </w:rPr>
      </w:pPr>
      <w:r>
        <w:rPr>
          <w:rFonts w:ascii="仿宋" w:hAnsi="仿宋" w:eastAsia="仿宋" w:cs="仿宋"/>
          <w:b/>
          <w:bCs/>
          <w:color w:val="auto"/>
          <w:spacing w:val="-7"/>
          <w:sz w:val="28"/>
          <w:szCs w:val="28"/>
        </w:rPr>
        <w:t>一、投标函</w:t>
      </w:r>
    </w:p>
    <w:p w14:paraId="74B1F782">
      <w:pPr>
        <w:spacing w:line="283" w:lineRule="auto"/>
        <w:rPr>
          <w:rFonts w:ascii="Arial"/>
          <w:color w:val="auto"/>
          <w:sz w:val="21"/>
        </w:rPr>
      </w:pPr>
    </w:p>
    <w:p w14:paraId="5B517976">
      <w:pPr>
        <w:spacing w:line="284" w:lineRule="auto"/>
        <w:rPr>
          <w:rFonts w:ascii="Arial"/>
          <w:color w:val="auto"/>
          <w:sz w:val="21"/>
        </w:rPr>
      </w:pPr>
    </w:p>
    <w:p w14:paraId="185D07B2">
      <w:pPr>
        <w:pStyle w:val="4"/>
        <w:spacing w:before="91" w:line="221" w:lineRule="auto"/>
        <w:ind w:left="11"/>
        <w:rPr>
          <w:color w:val="auto"/>
          <w:sz w:val="28"/>
          <w:szCs w:val="28"/>
        </w:rPr>
      </w:pPr>
      <w:r>
        <w:rPr>
          <w:color w:val="auto"/>
          <w:spacing w:val="8"/>
          <w:sz w:val="28"/>
          <w:szCs w:val="28"/>
        </w:rPr>
        <w:t>致</w:t>
      </w:r>
      <w:r>
        <w:rPr>
          <w:color w:val="auto"/>
          <w:spacing w:val="-39"/>
          <w:sz w:val="28"/>
          <w:szCs w:val="28"/>
        </w:rPr>
        <w:t>：</w:t>
      </w:r>
      <w:r>
        <w:rPr>
          <w:color w:val="auto"/>
          <w:sz w:val="28"/>
          <w:szCs w:val="28"/>
          <w:u w:val="single" w:color="auto"/>
        </w:rPr>
        <w:t xml:space="preserve">       </w:t>
      </w:r>
      <w:r>
        <w:rPr>
          <w:color w:val="auto"/>
          <w:spacing w:val="1"/>
          <w:sz w:val="28"/>
          <w:szCs w:val="28"/>
          <w:u w:val="single" w:color="auto"/>
        </w:rPr>
        <w:t xml:space="preserve"> （招标单位名称）   </w:t>
      </w:r>
    </w:p>
    <w:p w14:paraId="3BD2F0CC">
      <w:pPr>
        <w:pStyle w:val="4"/>
        <w:spacing w:before="163" w:line="323" w:lineRule="auto"/>
        <w:ind w:left="17" w:firstLine="635"/>
        <w:jc w:val="both"/>
        <w:rPr>
          <w:color w:val="auto"/>
          <w:sz w:val="28"/>
          <w:szCs w:val="28"/>
        </w:rPr>
      </w:pPr>
      <w:r>
        <w:rPr>
          <w:color w:val="auto"/>
          <w:spacing w:val="-6"/>
          <w:sz w:val="28"/>
          <w:szCs w:val="28"/>
        </w:rPr>
        <w:t>1</w:t>
      </w:r>
      <w:r>
        <w:rPr>
          <w:rFonts w:hint="eastAsia"/>
          <w:color w:val="auto"/>
          <w:spacing w:val="-6"/>
          <w:sz w:val="28"/>
          <w:szCs w:val="28"/>
          <w:lang w:val="en-US" w:eastAsia="zh-CN"/>
        </w:rPr>
        <w:t>.</w:t>
      </w:r>
      <w:r>
        <w:rPr>
          <w:color w:val="auto"/>
          <w:spacing w:val="-6"/>
          <w:sz w:val="28"/>
          <w:szCs w:val="28"/>
        </w:rPr>
        <w:t>我方已全面阅读和研究了贵院的</w:t>
      </w:r>
      <w:r>
        <w:rPr>
          <w:color w:val="auto"/>
          <w:spacing w:val="-138"/>
          <w:sz w:val="28"/>
          <w:szCs w:val="28"/>
        </w:rPr>
        <w:t xml:space="preserve"> </w:t>
      </w:r>
      <w:r>
        <w:rPr>
          <w:color w:val="auto"/>
          <w:spacing w:val="1"/>
          <w:sz w:val="28"/>
          <w:szCs w:val="28"/>
          <w:u w:val="single" w:color="auto"/>
        </w:rPr>
        <w:t xml:space="preserve">          </w:t>
      </w:r>
      <w:r>
        <w:rPr>
          <w:color w:val="auto"/>
          <w:spacing w:val="-124"/>
          <w:sz w:val="28"/>
          <w:szCs w:val="28"/>
        </w:rPr>
        <w:t xml:space="preserve"> </w:t>
      </w:r>
      <w:r>
        <w:rPr>
          <w:color w:val="auto"/>
          <w:spacing w:val="-6"/>
          <w:sz w:val="28"/>
          <w:szCs w:val="28"/>
        </w:rPr>
        <w:t>招标公告，已充分理解</w:t>
      </w:r>
      <w:r>
        <w:rPr>
          <w:color w:val="auto"/>
          <w:sz w:val="28"/>
          <w:szCs w:val="28"/>
        </w:rPr>
        <w:t xml:space="preserve"> </w:t>
      </w:r>
      <w:r>
        <w:rPr>
          <w:color w:val="auto"/>
          <w:spacing w:val="1"/>
          <w:sz w:val="28"/>
          <w:szCs w:val="28"/>
        </w:rPr>
        <w:t>并掌握了招标的全部有关情况。我方资格条件符合招标公告的要求，同意接受招标文件的全部内容和条件，并按此确定招标的全部内容，以本投标申请</w:t>
      </w:r>
      <w:r>
        <w:rPr>
          <w:color w:val="auto"/>
          <w:spacing w:val="-1"/>
          <w:sz w:val="28"/>
          <w:szCs w:val="28"/>
        </w:rPr>
        <w:t>书向你方发包的全部内容提出投标申请。</w:t>
      </w:r>
    </w:p>
    <w:p w14:paraId="51060D2D">
      <w:pPr>
        <w:pStyle w:val="4"/>
        <w:tabs>
          <w:tab w:val="left" w:pos="158"/>
        </w:tabs>
        <w:spacing w:before="42" w:line="316" w:lineRule="auto"/>
        <w:ind w:firstLine="644"/>
        <w:rPr>
          <w:color w:val="auto"/>
          <w:sz w:val="28"/>
          <w:szCs w:val="28"/>
        </w:rPr>
      </w:pPr>
      <w:r>
        <w:rPr>
          <w:color w:val="auto"/>
          <w:spacing w:val="-19"/>
          <w:sz w:val="28"/>
          <w:szCs w:val="28"/>
        </w:rPr>
        <w:t>2</w:t>
      </w:r>
      <w:r>
        <w:rPr>
          <w:rFonts w:hint="eastAsia"/>
          <w:color w:val="auto"/>
          <w:spacing w:val="72"/>
          <w:sz w:val="28"/>
          <w:szCs w:val="28"/>
          <w:lang w:val="en-US" w:eastAsia="zh-CN"/>
        </w:rPr>
        <w:t>.</w:t>
      </w:r>
      <w:r>
        <w:rPr>
          <w:color w:val="auto"/>
          <w:spacing w:val="-19"/>
          <w:sz w:val="28"/>
          <w:szCs w:val="28"/>
        </w:rPr>
        <w:t>根</w:t>
      </w:r>
      <w:r>
        <w:rPr>
          <w:color w:val="auto"/>
          <w:spacing w:val="-54"/>
          <w:sz w:val="28"/>
          <w:szCs w:val="28"/>
        </w:rPr>
        <w:t xml:space="preserve"> </w:t>
      </w:r>
      <w:r>
        <w:rPr>
          <w:color w:val="auto"/>
          <w:spacing w:val="-19"/>
          <w:sz w:val="28"/>
          <w:szCs w:val="28"/>
        </w:rPr>
        <w:t>据</w:t>
      </w:r>
      <w:r>
        <w:rPr>
          <w:color w:val="auto"/>
          <w:spacing w:val="-49"/>
          <w:sz w:val="28"/>
          <w:szCs w:val="28"/>
        </w:rPr>
        <w:t xml:space="preserve"> </w:t>
      </w:r>
      <w:r>
        <w:rPr>
          <w:color w:val="auto"/>
          <w:spacing w:val="-19"/>
          <w:sz w:val="28"/>
          <w:szCs w:val="28"/>
        </w:rPr>
        <w:t>招</w:t>
      </w:r>
      <w:r>
        <w:rPr>
          <w:color w:val="auto"/>
          <w:spacing w:val="-51"/>
          <w:sz w:val="28"/>
          <w:szCs w:val="28"/>
        </w:rPr>
        <w:t xml:space="preserve"> </w:t>
      </w:r>
      <w:r>
        <w:rPr>
          <w:color w:val="auto"/>
          <w:spacing w:val="-19"/>
          <w:sz w:val="28"/>
          <w:szCs w:val="28"/>
        </w:rPr>
        <w:t>标</w:t>
      </w:r>
      <w:r>
        <w:rPr>
          <w:color w:val="auto"/>
          <w:spacing w:val="-44"/>
          <w:sz w:val="28"/>
          <w:szCs w:val="28"/>
        </w:rPr>
        <w:t xml:space="preserve"> </w:t>
      </w:r>
      <w:r>
        <w:rPr>
          <w:color w:val="auto"/>
          <w:spacing w:val="-19"/>
          <w:sz w:val="28"/>
          <w:szCs w:val="28"/>
        </w:rPr>
        <w:t>公</w:t>
      </w:r>
      <w:r>
        <w:rPr>
          <w:color w:val="auto"/>
          <w:spacing w:val="-45"/>
          <w:sz w:val="28"/>
          <w:szCs w:val="28"/>
        </w:rPr>
        <w:t xml:space="preserve"> </w:t>
      </w:r>
      <w:r>
        <w:rPr>
          <w:color w:val="auto"/>
          <w:spacing w:val="-19"/>
          <w:sz w:val="28"/>
          <w:szCs w:val="28"/>
        </w:rPr>
        <w:t>告</w:t>
      </w:r>
      <w:r>
        <w:rPr>
          <w:color w:val="auto"/>
          <w:spacing w:val="-54"/>
          <w:sz w:val="28"/>
          <w:szCs w:val="28"/>
        </w:rPr>
        <w:t xml:space="preserve"> </w:t>
      </w:r>
      <w:r>
        <w:rPr>
          <w:color w:val="auto"/>
          <w:spacing w:val="-19"/>
          <w:sz w:val="28"/>
          <w:szCs w:val="28"/>
        </w:rPr>
        <w:t>及</w:t>
      </w:r>
      <w:r>
        <w:rPr>
          <w:color w:val="auto"/>
          <w:spacing w:val="-51"/>
          <w:sz w:val="28"/>
          <w:szCs w:val="28"/>
        </w:rPr>
        <w:t xml:space="preserve"> </w:t>
      </w:r>
      <w:r>
        <w:rPr>
          <w:color w:val="auto"/>
          <w:spacing w:val="-19"/>
          <w:sz w:val="28"/>
          <w:szCs w:val="28"/>
        </w:rPr>
        <w:t>本</w:t>
      </w:r>
      <w:r>
        <w:rPr>
          <w:color w:val="auto"/>
          <w:spacing w:val="-42"/>
          <w:sz w:val="28"/>
          <w:szCs w:val="28"/>
        </w:rPr>
        <w:t xml:space="preserve"> </w:t>
      </w:r>
      <w:r>
        <w:rPr>
          <w:color w:val="auto"/>
          <w:spacing w:val="-19"/>
          <w:sz w:val="28"/>
          <w:szCs w:val="28"/>
        </w:rPr>
        <w:t>公</w:t>
      </w:r>
      <w:r>
        <w:rPr>
          <w:color w:val="auto"/>
          <w:spacing w:val="-41"/>
          <w:sz w:val="28"/>
          <w:szCs w:val="28"/>
        </w:rPr>
        <w:t xml:space="preserve"> </w:t>
      </w:r>
      <w:r>
        <w:rPr>
          <w:color w:val="auto"/>
          <w:spacing w:val="-19"/>
          <w:sz w:val="28"/>
          <w:szCs w:val="28"/>
        </w:rPr>
        <w:t>司 的</w:t>
      </w:r>
      <w:r>
        <w:rPr>
          <w:color w:val="auto"/>
          <w:spacing w:val="-46"/>
          <w:sz w:val="28"/>
          <w:szCs w:val="28"/>
        </w:rPr>
        <w:t xml:space="preserve"> </w:t>
      </w:r>
      <w:r>
        <w:rPr>
          <w:color w:val="auto"/>
          <w:spacing w:val="-19"/>
          <w:sz w:val="28"/>
          <w:szCs w:val="28"/>
        </w:rPr>
        <w:t>实</w:t>
      </w:r>
      <w:r>
        <w:rPr>
          <w:color w:val="auto"/>
          <w:spacing w:val="-33"/>
          <w:sz w:val="28"/>
          <w:szCs w:val="28"/>
        </w:rPr>
        <w:t xml:space="preserve"> </w:t>
      </w:r>
      <w:r>
        <w:rPr>
          <w:color w:val="auto"/>
          <w:spacing w:val="-19"/>
          <w:sz w:val="28"/>
          <w:szCs w:val="28"/>
        </w:rPr>
        <w:t>际</w:t>
      </w:r>
      <w:r>
        <w:rPr>
          <w:color w:val="auto"/>
          <w:spacing w:val="-51"/>
          <w:sz w:val="28"/>
          <w:szCs w:val="28"/>
        </w:rPr>
        <w:t xml:space="preserve"> </w:t>
      </w:r>
      <w:r>
        <w:rPr>
          <w:color w:val="auto"/>
          <w:spacing w:val="-19"/>
          <w:sz w:val="28"/>
          <w:szCs w:val="28"/>
        </w:rPr>
        <w:t>情</w:t>
      </w:r>
      <w:r>
        <w:rPr>
          <w:color w:val="auto"/>
          <w:spacing w:val="-48"/>
          <w:sz w:val="28"/>
          <w:szCs w:val="28"/>
        </w:rPr>
        <w:t xml:space="preserve"> </w:t>
      </w:r>
      <w:r>
        <w:rPr>
          <w:color w:val="auto"/>
          <w:spacing w:val="-19"/>
          <w:sz w:val="28"/>
          <w:szCs w:val="28"/>
        </w:rPr>
        <w:t>况</w:t>
      </w:r>
      <w:r>
        <w:rPr>
          <w:color w:val="auto"/>
          <w:spacing w:val="-48"/>
          <w:sz w:val="28"/>
          <w:szCs w:val="28"/>
        </w:rPr>
        <w:t xml:space="preserve"> </w:t>
      </w:r>
      <w:r>
        <w:rPr>
          <w:color w:val="auto"/>
          <w:spacing w:val="-19"/>
          <w:sz w:val="28"/>
          <w:szCs w:val="28"/>
        </w:rPr>
        <w:t>,</w:t>
      </w:r>
      <w:r>
        <w:rPr>
          <w:color w:val="auto"/>
          <w:spacing w:val="-50"/>
          <w:sz w:val="28"/>
          <w:szCs w:val="28"/>
        </w:rPr>
        <w:t xml:space="preserve"> </w:t>
      </w:r>
      <w:r>
        <w:rPr>
          <w:color w:val="auto"/>
          <w:spacing w:val="-19"/>
          <w:sz w:val="28"/>
          <w:szCs w:val="28"/>
        </w:rPr>
        <w:t>本</w:t>
      </w:r>
      <w:r>
        <w:rPr>
          <w:color w:val="auto"/>
          <w:spacing w:val="-43"/>
          <w:sz w:val="28"/>
          <w:szCs w:val="28"/>
        </w:rPr>
        <w:t xml:space="preserve"> </w:t>
      </w:r>
      <w:r>
        <w:rPr>
          <w:color w:val="auto"/>
          <w:spacing w:val="-19"/>
          <w:sz w:val="28"/>
          <w:szCs w:val="28"/>
        </w:rPr>
        <w:t>公</w:t>
      </w:r>
      <w:r>
        <w:rPr>
          <w:color w:val="auto"/>
          <w:spacing w:val="-42"/>
          <w:sz w:val="28"/>
          <w:szCs w:val="28"/>
        </w:rPr>
        <w:t xml:space="preserve"> </w:t>
      </w:r>
      <w:r>
        <w:rPr>
          <w:color w:val="auto"/>
          <w:spacing w:val="-19"/>
          <w:sz w:val="28"/>
          <w:szCs w:val="28"/>
        </w:rPr>
        <w:t>司</w:t>
      </w:r>
      <w:r>
        <w:rPr>
          <w:color w:val="auto"/>
          <w:spacing w:val="-55"/>
          <w:sz w:val="28"/>
          <w:szCs w:val="28"/>
        </w:rPr>
        <w:t xml:space="preserve"> </w:t>
      </w:r>
      <w:r>
        <w:rPr>
          <w:color w:val="auto"/>
          <w:spacing w:val="-19"/>
          <w:sz w:val="28"/>
          <w:szCs w:val="28"/>
        </w:rPr>
        <w:t>报</w:t>
      </w:r>
      <w:r>
        <w:rPr>
          <w:color w:val="auto"/>
          <w:spacing w:val="-49"/>
          <w:sz w:val="28"/>
          <w:szCs w:val="28"/>
        </w:rPr>
        <w:t xml:space="preserve"> </w:t>
      </w:r>
      <w:r>
        <w:rPr>
          <w:color w:val="auto"/>
          <w:spacing w:val="-19"/>
          <w:sz w:val="28"/>
          <w:szCs w:val="28"/>
        </w:rPr>
        <w:t>价</w:t>
      </w:r>
      <w:r>
        <w:rPr>
          <w:color w:val="auto"/>
          <w:spacing w:val="-49"/>
          <w:sz w:val="28"/>
          <w:szCs w:val="28"/>
        </w:rPr>
        <w:t xml:space="preserve"> </w:t>
      </w:r>
      <w:r>
        <w:rPr>
          <w:color w:val="auto"/>
          <w:spacing w:val="-19"/>
          <w:sz w:val="28"/>
          <w:szCs w:val="28"/>
        </w:rPr>
        <w:t>为</w:t>
      </w:r>
      <w:r>
        <w:rPr>
          <w:color w:val="auto"/>
          <w:spacing w:val="1"/>
          <w:sz w:val="28"/>
          <w:szCs w:val="28"/>
          <w:u w:val="single" w:color="auto"/>
        </w:rPr>
        <w:t xml:space="preserve">  </w:t>
      </w:r>
      <w:r>
        <w:rPr>
          <w:rFonts w:hint="eastAsia"/>
          <w:color w:val="auto"/>
          <w:spacing w:val="1"/>
          <w:sz w:val="28"/>
          <w:szCs w:val="28"/>
          <w:u w:val="single" w:color="auto"/>
          <w:lang w:val="en-US" w:eastAsia="zh-CN"/>
        </w:rPr>
        <w:t>：</w:t>
      </w:r>
      <w:r>
        <w:rPr>
          <w:color w:val="auto"/>
          <w:spacing w:val="1"/>
          <w:sz w:val="28"/>
          <w:szCs w:val="28"/>
          <w:u w:val="single" w:color="auto"/>
        </w:rPr>
        <w:tab/>
      </w:r>
      <w:r>
        <w:rPr>
          <w:color w:val="auto"/>
          <w:spacing w:val="-20"/>
          <w:sz w:val="28"/>
          <w:szCs w:val="28"/>
          <w:u w:val="single" w:color="auto"/>
        </w:rPr>
        <w:t>（大小写</w:t>
      </w:r>
      <w:r>
        <w:rPr>
          <w:color w:val="auto"/>
          <w:spacing w:val="-3"/>
          <w:sz w:val="28"/>
          <w:szCs w:val="28"/>
          <w:u w:val="single"/>
        </w:rPr>
        <w:t>金额）。</w:t>
      </w:r>
    </w:p>
    <w:p w14:paraId="406BF585">
      <w:pPr>
        <w:pStyle w:val="4"/>
        <w:spacing w:before="41" w:line="317" w:lineRule="auto"/>
        <w:ind w:left="14" w:firstLine="626"/>
        <w:rPr>
          <w:color w:val="auto"/>
          <w:sz w:val="28"/>
          <w:szCs w:val="28"/>
        </w:rPr>
      </w:pPr>
      <w:r>
        <w:rPr>
          <w:color w:val="auto"/>
          <w:spacing w:val="-3"/>
          <w:sz w:val="28"/>
          <w:szCs w:val="28"/>
        </w:rPr>
        <w:t>3</w:t>
      </w:r>
      <w:r>
        <w:rPr>
          <w:rFonts w:hint="eastAsia"/>
          <w:color w:val="auto"/>
          <w:spacing w:val="-3"/>
          <w:sz w:val="28"/>
          <w:szCs w:val="28"/>
          <w:lang w:val="en-US" w:eastAsia="zh-CN"/>
        </w:rPr>
        <w:t>.</w:t>
      </w:r>
      <w:r>
        <w:rPr>
          <w:color w:val="auto"/>
          <w:spacing w:val="-3"/>
          <w:sz w:val="28"/>
          <w:szCs w:val="28"/>
        </w:rPr>
        <w:t>我方保证严格按照有关法规及招标文件的</w:t>
      </w:r>
      <w:r>
        <w:rPr>
          <w:color w:val="auto"/>
          <w:spacing w:val="-4"/>
          <w:sz w:val="28"/>
          <w:szCs w:val="28"/>
        </w:rPr>
        <w:t>相关规定参加投标，并充</w:t>
      </w:r>
      <w:r>
        <w:rPr>
          <w:color w:val="auto"/>
          <w:sz w:val="28"/>
          <w:szCs w:val="28"/>
        </w:rPr>
        <w:t xml:space="preserve"> </w:t>
      </w:r>
      <w:r>
        <w:rPr>
          <w:color w:val="auto"/>
          <w:spacing w:val="-1"/>
          <w:sz w:val="28"/>
          <w:szCs w:val="28"/>
        </w:rPr>
        <w:t>分理解尊重贵院的招标结果，不要求对中标结果进行解释。</w:t>
      </w:r>
    </w:p>
    <w:p w14:paraId="416A2F6C">
      <w:pPr>
        <w:pStyle w:val="4"/>
        <w:spacing w:before="38" w:line="321" w:lineRule="auto"/>
        <w:ind w:left="37" w:firstLine="593"/>
        <w:rPr>
          <w:color w:val="auto"/>
          <w:sz w:val="28"/>
          <w:szCs w:val="28"/>
        </w:rPr>
      </w:pPr>
      <w:r>
        <w:rPr>
          <w:color w:val="auto"/>
          <w:spacing w:val="-3"/>
          <w:sz w:val="28"/>
          <w:szCs w:val="28"/>
        </w:rPr>
        <w:t>4</w:t>
      </w:r>
      <w:r>
        <w:rPr>
          <w:rFonts w:hint="eastAsia"/>
          <w:color w:val="auto"/>
          <w:spacing w:val="-3"/>
          <w:sz w:val="28"/>
          <w:szCs w:val="28"/>
          <w:lang w:val="en-US" w:eastAsia="zh-CN"/>
        </w:rPr>
        <w:t>.</w:t>
      </w:r>
      <w:r>
        <w:rPr>
          <w:color w:val="auto"/>
          <w:spacing w:val="-3"/>
          <w:sz w:val="28"/>
          <w:szCs w:val="28"/>
        </w:rPr>
        <w:t>如由我方中标，在接到你方发出的中标通知书后的规</w:t>
      </w:r>
      <w:r>
        <w:rPr>
          <w:color w:val="auto"/>
          <w:spacing w:val="-4"/>
          <w:sz w:val="28"/>
          <w:szCs w:val="28"/>
        </w:rPr>
        <w:t>定时间内，按</w:t>
      </w:r>
      <w:r>
        <w:rPr>
          <w:color w:val="auto"/>
          <w:sz w:val="28"/>
          <w:szCs w:val="28"/>
        </w:rPr>
        <w:t xml:space="preserve"> 中标通知书、投标文件和本投标申请书的约定和合同样本与你方签定服务合</w:t>
      </w:r>
      <w:r>
        <w:rPr>
          <w:color w:val="auto"/>
          <w:spacing w:val="-3"/>
          <w:sz w:val="28"/>
          <w:szCs w:val="28"/>
        </w:rPr>
        <w:t>同，履行规定的一切责任和义务。</w:t>
      </w:r>
    </w:p>
    <w:p w14:paraId="14A9F34E">
      <w:pPr>
        <w:pStyle w:val="4"/>
        <w:spacing w:before="40" w:line="219" w:lineRule="auto"/>
        <w:ind w:left="576"/>
        <w:rPr>
          <w:color w:val="auto"/>
          <w:sz w:val="28"/>
          <w:szCs w:val="28"/>
        </w:rPr>
      </w:pPr>
      <w:r>
        <w:rPr>
          <w:color w:val="auto"/>
          <w:spacing w:val="-1"/>
          <w:sz w:val="28"/>
          <w:szCs w:val="28"/>
        </w:rPr>
        <w:t>5.我方承认该投标申请书格式为投标申请书的组成部分。</w:t>
      </w:r>
    </w:p>
    <w:p w14:paraId="3A087C74">
      <w:pPr>
        <w:pStyle w:val="4"/>
        <w:spacing w:before="168" w:line="317" w:lineRule="auto"/>
        <w:ind w:left="13" w:firstLine="559"/>
        <w:rPr>
          <w:color w:val="auto"/>
          <w:sz w:val="28"/>
          <w:szCs w:val="28"/>
        </w:rPr>
      </w:pPr>
      <w:r>
        <w:rPr>
          <w:color w:val="auto"/>
          <w:spacing w:val="1"/>
          <w:sz w:val="28"/>
          <w:szCs w:val="28"/>
        </w:rPr>
        <w:t>6.本投标申请书自提交你方之日起</w:t>
      </w:r>
      <w:r>
        <w:rPr>
          <w:color w:val="auto"/>
          <w:spacing w:val="1"/>
          <w:sz w:val="28"/>
          <w:szCs w:val="28"/>
          <w:u w:val="single" w:color="auto"/>
        </w:rPr>
        <w:t xml:space="preserve"> 90 </w:t>
      </w:r>
      <w:r>
        <w:rPr>
          <w:color w:val="auto"/>
          <w:spacing w:val="1"/>
          <w:sz w:val="28"/>
          <w:szCs w:val="28"/>
        </w:rPr>
        <w:t>天内有效，在此有效期内，全部</w:t>
      </w:r>
      <w:r>
        <w:rPr>
          <w:color w:val="auto"/>
          <w:spacing w:val="-1"/>
          <w:sz w:val="28"/>
          <w:szCs w:val="28"/>
        </w:rPr>
        <w:t>条款内容对我方具有约束力，如中标将成为服务合同文件组成部分。</w:t>
      </w:r>
    </w:p>
    <w:p w14:paraId="6BE2D654">
      <w:pPr>
        <w:spacing w:line="444" w:lineRule="auto"/>
        <w:rPr>
          <w:rFonts w:ascii="Arial"/>
          <w:color w:val="auto"/>
          <w:sz w:val="21"/>
        </w:rPr>
      </w:pPr>
    </w:p>
    <w:p w14:paraId="6956D26D">
      <w:pPr>
        <w:pStyle w:val="4"/>
        <w:spacing w:before="91" w:line="219" w:lineRule="auto"/>
        <w:ind w:left="14"/>
        <w:rPr>
          <w:color w:val="auto"/>
          <w:sz w:val="28"/>
          <w:szCs w:val="28"/>
        </w:rPr>
      </w:pPr>
      <w:r>
        <w:rPr>
          <w:color w:val="auto"/>
          <w:spacing w:val="-2"/>
          <w:sz w:val="28"/>
          <w:szCs w:val="28"/>
        </w:rPr>
        <w:t>投标申请单位（章</w:t>
      </w:r>
      <w:r>
        <w:rPr>
          <w:color w:val="auto"/>
          <w:spacing w:val="4"/>
          <w:sz w:val="28"/>
          <w:szCs w:val="28"/>
        </w:rPr>
        <w:t>）：</w:t>
      </w:r>
      <w:r>
        <w:rPr>
          <w:color w:val="auto"/>
          <w:spacing w:val="1"/>
          <w:sz w:val="28"/>
          <w:szCs w:val="28"/>
        </w:rPr>
        <w:t xml:space="preserve">        </w:t>
      </w:r>
      <w:r>
        <w:rPr>
          <w:color w:val="auto"/>
          <w:spacing w:val="-2"/>
          <w:sz w:val="28"/>
          <w:szCs w:val="28"/>
        </w:rPr>
        <w:t>法定代表或授权代表：</w:t>
      </w:r>
    </w:p>
    <w:p w14:paraId="015CF1EC">
      <w:pPr>
        <w:pStyle w:val="4"/>
        <w:spacing w:before="169" w:line="222" w:lineRule="auto"/>
        <w:ind w:left="12"/>
        <w:rPr>
          <w:color w:val="auto"/>
          <w:sz w:val="28"/>
          <w:szCs w:val="28"/>
        </w:rPr>
      </w:pPr>
      <w:r>
        <w:rPr>
          <w:color w:val="auto"/>
          <w:spacing w:val="-1"/>
          <w:sz w:val="28"/>
          <w:szCs w:val="28"/>
        </w:rPr>
        <w:t>联系人：                    联系地址：</w:t>
      </w:r>
    </w:p>
    <w:p w14:paraId="604A2295">
      <w:pPr>
        <w:pStyle w:val="4"/>
        <w:spacing w:before="163" w:line="220" w:lineRule="auto"/>
        <w:ind w:left="44"/>
        <w:rPr>
          <w:color w:val="auto"/>
          <w:sz w:val="28"/>
          <w:szCs w:val="28"/>
        </w:rPr>
      </w:pPr>
      <w:r>
        <w:rPr>
          <w:color w:val="auto"/>
          <w:spacing w:val="-6"/>
          <w:sz w:val="28"/>
          <w:szCs w:val="28"/>
        </w:rPr>
        <w:t xml:space="preserve">电话：                </w:t>
      </w:r>
      <w:r>
        <w:rPr>
          <w:color w:val="auto"/>
          <w:spacing w:val="-7"/>
          <w:sz w:val="28"/>
          <w:szCs w:val="28"/>
        </w:rPr>
        <w:t xml:space="preserve">       </w:t>
      </w:r>
      <w:r>
        <w:rPr>
          <w:rFonts w:hint="eastAsia"/>
          <w:color w:val="auto"/>
          <w:spacing w:val="-7"/>
          <w:sz w:val="28"/>
          <w:szCs w:val="28"/>
          <w:lang w:val="en-US" w:eastAsia="zh-CN"/>
        </w:rPr>
        <w:t xml:space="preserve"> </w:t>
      </w:r>
      <w:r>
        <w:rPr>
          <w:color w:val="auto"/>
          <w:spacing w:val="-7"/>
          <w:sz w:val="28"/>
          <w:szCs w:val="28"/>
        </w:rPr>
        <w:t>邮编：</w:t>
      </w:r>
    </w:p>
    <w:p w14:paraId="49F668DC">
      <w:pPr>
        <w:pStyle w:val="4"/>
        <w:spacing w:before="165" w:line="221" w:lineRule="auto"/>
        <w:ind w:left="12"/>
        <w:rPr>
          <w:color w:val="auto"/>
          <w:sz w:val="28"/>
          <w:szCs w:val="28"/>
        </w:rPr>
      </w:pPr>
      <w:r>
        <w:rPr>
          <w:color w:val="auto"/>
          <w:spacing w:val="-1"/>
          <w:sz w:val="28"/>
          <w:szCs w:val="28"/>
        </w:rPr>
        <w:t>开户银行：                  账号：</w:t>
      </w:r>
    </w:p>
    <w:p w14:paraId="25188D26">
      <w:pPr>
        <w:pStyle w:val="4"/>
        <w:spacing w:before="166" w:line="220" w:lineRule="auto"/>
        <w:ind w:left="6732"/>
        <w:rPr>
          <w:color w:val="auto"/>
          <w:sz w:val="28"/>
          <w:szCs w:val="28"/>
        </w:rPr>
      </w:pPr>
      <w:r>
        <w:rPr>
          <w:color w:val="auto"/>
          <w:spacing w:val="-10"/>
          <w:sz w:val="28"/>
          <w:szCs w:val="28"/>
        </w:rPr>
        <w:t>年</w:t>
      </w:r>
      <w:r>
        <w:rPr>
          <w:color w:val="auto"/>
          <w:spacing w:val="8"/>
          <w:sz w:val="28"/>
          <w:szCs w:val="28"/>
        </w:rPr>
        <w:t xml:space="preserve"> </w:t>
      </w:r>
      <w:r>
        <w:rPr>
          <w:rFonts w:hint="eastAsia"/>
          <w:color w:val="auto"/>
          <w:spacing w:val="8"/>
          <w:sz w:val="28"/>
          <w:szCs w:val="28"/>
          <w:lang w:val="en-US" w:eastAsia="zh-CN"/>
        </w:rPr>
        <w:t xml:space="preserve"> </w:t>
      </w:r>
      <w:r>
        <w:rPr>
          <w:color w:val="auto"/>
          <w:spacing w:val="8"/>
          <w:sz w:val="28"/>
          <w:szCs w:val="28"/>
        </w:rPr>
        <w:t xml:space="preserve"> </w:t>
      </w:r>
      <w:r>
        <w:rPr>
          <w:color w:val="auto"/>
          <w:spacing w:val="-10"/>
          <w:sz w:val="28"/>
          <w:szCs w:val="28"/>
        </w:rPr>
        <w:t>月</w:t>
      </w:r>
      <w:r>
        <w:rPr>
          <w:color w:val="auto"/>
          <w:spacing w:val="20"/>
          <w:sz w:val="28"/>
          <w:szCs w:val="28"/>
        </w:rPr>
        <w:t xml:space="preserve">   </w:t>
      </w:r>
      <w:r>
        <w:rPr>
          <w:color w:val="auto"/>
          <w:spacing w:val="-10"/>
          <w:sz w:val="28"/>
          <w:szCs w:val="28"/>
        </w:rPr>
        <w:t>日</w:t>
      </w:r>
    </w:p>
    <w:p w14:paraId="33F9DB0F">
      <w:pPr>
        <w:spacing w:line="220" w:lineRule="auto"/>
        <w:rPr>
          <w:color w:val="auto"/>
          <w:sz w:val="28"/>
          <w:szCs w:val="28"/>
        </w:rPr>
        <w:sectPr>
          <w:footerReference r:id="rId10" w:type="default"/>
          <w:pgSz w:w="11906" w:h="16838"/>
          <w:pgMar w:top="1701" w:right="1473" w:bottom="1417" w:left="1473" w:header="0" w:footer="1072" w:gutter="0"/>
          <w:pgNumType w:fmt="decimal"/>
          <w:cols w:space="720" w:num="1"/>
        </w:sectPr>
      </w:pPr>
    </w:p>
    <w:p w14:paraId="393FA3C4">
      <w:pPr>
        <w:spacing w:line="262" w:lineRule="auto"/>
        <w:rPr>
          <w:rFonts w:ascii="Arial"/>
          <w:color w:val="auto"/>
          <w:sz w:val="21"/>
        </w:rPr>
      </w:pPr>
    </w:p>
    <w:p w14:paraId="1AF4C06F">
      <w:pPr>
        <w:spacing w:before="91" w:line="224" w:lineRule="auto"/>
        <w:jc w:val="center"/>
        <w:rPr>
          <w:rFonts w:ascii="仿宋" w:hAnsi="仿宋" w:eastAsia="仿宋" w:cs="仿宋"/>
          <w:color w:val="auto"/>
          <w:sz w:val="28"/>
          <w:szCs w:val="28"/>
        </w:rPr>
      </w:pPr>
      <w:r>
        <w:rPr>
          <w:rFonts w:ascii="仿宋" w:hAnsi="仿宋" w:eastAsia="仿宋" w:cs="仿宋"/>
          <w:b/>
          <w:bCs/>
          <w:color w:val="auto"/>
          <w:spacing w:val="-7"/>
          <w:sz w:val="28"/>
          <w:szCs w:val="28"/>
        </w:rPr>
        <w:t>二、营业执照</w:t>
      </w:r>
    </w:p>
    <w:p w14:paraId="3BAE8732">
      <w:pPr>
        <w:spacing w:line="242" w:lineRule="auto"/>
        <w:rPr>
          <w:rFonts w:ascii="Arial"/>
          <w:color w:val="auto"/>
          <w:sz w:val="21"/>
        </w:rPr>
      </w:pPr>
    </w:p>
    <w:p w14:paraId="403EDBDE">
      <w:pPr>
        <w:spacing w:line="242" w:lineRule="auto"/>
        <w:rPr>
          <w:rFonts w:ascii="Arial"/>
          <w:color w:val="auto"/>
          <w:sz w:val="21"/>
        </w:rPr>
      </w:pPr>
    </w:p>
    <w:p w14:paraId="358047FE">
      <w:pPr>
        <w:spacing w:line="242" w:lineRule="auto"/>
        <w:rPr>
          <w:rFonts w:ascii="Arial"/>
          <w:color w:val="auto"/>
          <w:sz w:val="21"/>
        </w:rPr>
      </w:pPr>
    </w:p>
    <w:p w14:paraId="0701E7C2">
      <w:pPr>
        <w:spacing w:line="242" w:lineRule="auto"/>
        <w:rPr>
          <w:rFonts w:ascii="Arial"/>
          <w:color w:val="auto"/>
          <w:sz w:val="21"/>
        </w:rPr>
      </w:pPr>
    </w:p>
    <w:p w14:paraId="34B417B8">
      <w:pPr>
        <w:spacing w:line="242" w:lineRule="auto"/>
        <w:rPr>
          <w:rFonts w:ascii="Arial"/>
          <w:color w:val="auto"/>
          <w:sz w:val="21"/>
        </w:rPr>
      </w:pPr>
    </w:p>
    <w:p w14:paraId="420AB647">
      <w:pPr>
        <w:spacing w:line="242" w:lineRule="auto"/>
        <w:rPr>
          <w:rFonts w:ascii="Arial"/>
          <w:color w:val="auto"/>
          <w:sz w:val="21"/>
        </w:rPr>
      </w:pPr>
    </w:p>
    <w:p w14:paraId="50F699E8">
      <w:pPr>
        <w:spacing w:line="242" w:lineRule="auto"/>
        <w:rPr>
          <w:rFonts w:ascii="Arial"/>
          <w:color w:val="auto"/>
          <w:sz w:val="21"/>
        </w:rPr>
      </w:pPr>
    </w:p>
    <w:p w14:paraId="5233157A">
      <w:pPr>
        <w:spacing w:line="242" w:lineRule="auto"/>
        <w:rPr>
          <w:rFonts w:ascii="Arial"/>
          <w:color w:val="auto"/>
          <w:sz w:val="21"/>
        </w:rPr>
      </w:pPr>
    </w:p>
    <w:p w14:paraId="44A53147">
      <w:pPr>
        <w:spacing w:line="242" w:lineRule="auto"/>
        <w:rPr>
          <w:rFonts w:ascii="Arial"/>
          <w:color w:val="auto"/>
          <w:sz w:val="21"/>
        </w:rPr>
      </w:pPr>
    </w:p>
    <w:p w14:paraId="525C953E">
      <w:pPr>
        <w:spacing w:line="242" w:lineRule="auto"/>
        <w:rPr>
          <w:rFonts w:ascii="Arial"/>
          <w:color w:val="auto"/>
          <w:sz w:val="21"/>
        </w:rPr>
      </w:pPr>
    </w:p>
    <w:p w14:paraId="2CCDAE29">
      <w:pPr>
        <w:spacing w:line="242" w:lineRule="auto"/>
        <w:rPr>
          <w:rFonts w:ascii="Arial"/>
          <w:color w:val="auto"/>
          <w:sz w:val="21"/>
        </w:rPr>
      </w:pPr>
    </w:p>
    <w:p w14:paraId="0B6A3A2F">
      <w:pPr>
        <w:spacing w:line="242" w:lineRule="auto"/>
        <w:rPr>
          <w:rFonts w:ascii="Arial"/>
          <w:color w:val="auto"/>
          <w:sz w:val="21"/>
        </w:rPr>
      </w:pPr>
    </w:p>
    <w:p w14:paraId="68610595">
      <w:pPr>
        <w:spacing w:line="242" w:lineRule="auto"/>
        <w:rPr>
          <w:rFonts w:ascii="Arial"/>
          <w:color w:val="auto"/>
          <w:sz w:val="21"/>
        </w:rPr>
      </w:pPr>
    </w:p>
    <w:p w14:paraId="7674EC29">
      <w:pPr>
        <w:spacing w:line="242" w:lineRule="auto"/>
        <w:rPr>
          <w:rFonts w:ascii="Arial"/>
          <w:color w:val="auto"/>
          <w:sz w:val="21"/>
        </w:rPr>
      </w:pPr>
    </w:p>
    <w:p w14:paraId="5119BFEB">
      <w:pPr>
        <w:spacing w:line="242" w:lineRule="auto"/>
        <w:rPr>
          <w:rFonts w:ascii="Arial"/>
          <w:color w:val="auto"/>
          <w:sz w:val="21"/>
        </w:rPr>
      </w:pPr>
    </w:p>
    <w:p w14:paraId="2C9977E7">
      <w:pPr>
        <w:spacing w:line="242" w:lineRule="auto"/>
        <w:rPr>
          <w:rFonts w:ascii="Arial"/>
          <w:color w:val="auto"/>
          <w:sz w:val="21"/>
        </w:rPr>
      </w:pPr>
    </w:p>
    <w:p w14:paraId="32DFC423">
      <w:pPr>
        <w:spacing w:line="243" w:lineRule="auto"/>
        <w:rPr>
          <w:rFonts w:ascii="Arial"/>
          <w:color w:val="auto"/>
          <w:sz w:val="21"/>
        </w:rPr>
      </w:pPr>
    </w:p>
    <w:p w14:paraId="30469796">
      <w:pPr>
        <w:spacing w:line="243" w:lineRule="auto"/>
        <w:rPr>
          <w:rFonts w:ascii="Arial"/>
          <w:color w:val="auto"/>
          <w:sz w:val="21"/>
        </w:rPr>
      </w:pPr>
    </w:p>
    <w:p w14:paraId="12B4A94D">
      <w:pPr>
        <w:spacing w:line="243" w:lineRule="auto"/>
        <w:rPr>
          <w:rFonts w:ascii="Arial"/>
          <w:color w:val="auto"/>
          <w:sz w:val="21"/>
        </w:rPr>
      </w:pPr>
    </w:p>
    <w:p w14:paraId="052F8ED6">
      <w:pPr>
        <w:spacing w:line="243" w:lineRule="auto"/>
        <w:rPr>
          <w:rFonts w:ascii="Arial"/>
          <w:color w:val="auto"/>
          <w:sz w:val="21"/>
        </w:rPr>
      </w:pPr>
    </w:p>
    <w:p w14:paraId="1097CBE3">
      <w:pPr>
        <w:spacing w:line="243" w:lineRule="auto"/>
        <w:rPr>
          <w:rFonts w:ascii="Arial"/>
          <w:color w:val="auto"/>
          <w:sz w:val="21"/>
        </w:rPr>
      </w:pPr>
    </w:p>
    <w:p w14:paraId="2F898677">
      <w:pPr>
        <w:spacing w:line="243" w:lineRule="auto"/>
        <w:rPr>
          <w:rFonts w:ascii="Arial"/>
          <w:color w:val="auto"/>
          <w:sz w:val="21"/>
        </w:rPr>
      </w:pPr>
    </w:p>
    <w:p w14:paraId="5E316DBC">
      <w:pPr>
        <w:spacing w:line="243" w:lineRule="auto"/>
        <w:rPr>
          <w:rFonts w:ascii="Arial"/>
          <w:color w:val="auto"/>
          <w:sz w:val="21"/>
        </w:rPr>
      </w:pPr>
    </w:p>
    <w:p w14:paraId="36F11380">
      <w:pPr>
        <w:spacing w:line="243" w:lineRule="auto"/>
        <w:rPr>
          <w:rFonts w:ascii="Arial"/>
          <w:color w:val="auto"/>
          <w:sz w:val="21"/>
        </w:rPr>
      </w:pPr>
    </w:p>
    <w:p w14:paraId="35952AC7">
      <w:pPr>
        <w:spacing w:line="243" w:lineRule="auto"/>
        <w:rPr>
          <w:rFonts w:ascii="Arial"/>
          <w:color w:val="auto"/>
          <w:sz w:val="21"/>
        </w:rPr>
      </w:pPr>
    </w:p>
    <w:p w14:paraId="47BEA988">
      <w:pPr>
        <w:spacing w:line="243" w:lineRule="auto"/>
        <w:rPr>
          <w:rFonts w:ascii="Arial"/>
          <w:color w:val="auto"/>
          <w:sz w:val="21"/>
        </w:rPr>
      </w:pPr>
    </w:p>
    <w:p w14:paraId="7AE2BFA1">
      <w:pPr>
        <w:spacing w:line="243" w:lineRule="auto"/>
        <w:rPr>
          <w:rFonts w:ascii="Arial"/>
          <w:color w:val="auto"/>
          <w:sz w:val="21"/>
        </w:rPr>
      </w:pPr>
    </w:p>
    <w:p w14:paraId="74A8FE43">
      <w:pPr>
        <w:spacing w:line="243" w:lineRule="auto"/>
        <w:rPr>
          <w:rFonts w:ascii="Arial"/>
          <w:color w:val="auto"/>
          <w:sz w:val="21"/>
        </w:rPr>
      </w:pPr>
    </w:p>
    <w:p w14:paraId="5F504629">
      <w:pPr>
        <w:spacing w:line="243" w:lineRule="auto"/>
        <w:rPr>
          <w:rFonts w:ascii="Arial"/>
          <w:color w:val="auto"/>
          <w:sz w:val="21"/>
        </w:rPr>
      </w:pPr>
    </w:p>
    <w:p w14:paraId="6A29BC06">
      <w:pPr>
        <w:spacing w:line="243" w:lineRule="auto"/>
        <w:rPr>
          <w:rFonts w:ascii="Arial"/>
          <w:color w:val="auto"/>
          <w:sz w:val="21"/>
        </w:rPr>
      </w:pPr>
    </w:p>
    <w:p w14:paraId="63035D0C">
      <w:pPr>
        <w:spacing w:line="243" w:lineRule="auto"/>
        <w:rPr>
          <w:rFonts w:ascii="Arial"/>
          <w:color w:val="auto"/>
          <w:sz w:val="21"/>
        </w:rPr>
      </w:pPr>
    </w:p>
    <w:p w14:paraId="70AB132A">
      <w:pPr>
        <w:spacing w:line="243" w:lineRule="auto"/>
        <w:rPr>
          <w:rFonts w:ascii="Arial"/>
          <w:color w:val="auto"/>
          <w:sz w:val="21"/>
        </w:rPr>
      </w:pPr>
    </w:p>
    <w:p w14:paraId="7796F94A">
      <w:pPr>
        <w:spacing w:line="243" w:lineRule="auto"/>
        <w:rPr>
          <w:rFonts w:ascii="Arial"/>
          <w:color w:val="auto"/>
          <w:sz w:val="21"/>
        </w:rPr>
      </w:pPr>
    </w:p>
    <w:p w14:paraId="0C293FED">
      <w:pPr>
        <w:spacing w:line="243" w:lineRule="auto"/>
        <w:rPr>
          <w:rFonts w:ascii="Arial"/>
          <w:color w:val="auto"/>
          <w:sz w:val="21"/>
        </w:rPr>
      </w:pPr>
    </w:p>
    <w:p w14:paraId="46A34A0D">
      <w:pPr>
        <w:spacing w:line="243" w:lineRule="auto"/>
        <w:rPr>
          <w:rFonts w:ascii="Arial"/>
          <w:color w:val="auto"/>
          <w:sz w:val="21"/>
        </w:rPr>
      </w:pPr>
    </w:p>
    <w:p w14:paraId="47940EDC">
      <w:pPr>
        <w:spacing w:line="243" w:lineRule="auto"/>
        <w:rPr>
          <w:rFonts w:ascii="Arial"/>
          <w:color w:val="auto"/>
          <w:sz w:val="21"/>
        </w:rPr>
      </w:pPr>
    </w:p>
    <w:p w14:paraId="3595A2EF">
      <w:pPr>
        <w:spacing w:line="243" w:lineRule="auto"/>
        <w:rPr>
          <w:rFonts w:ascii="Arial"/>
          <w:color w:val="auto"/>
          <w:sz w:val="21"/>
        </w:rPr>
      </w:pPr>
    </w:p>
    <w:p w14:paraId="46F1544F">
      <w:pPr>
        <w:spacing w:line="243" w:lineRule="auto"/>
        <w:rPr>
          <w:rFonts w:ascii="Arial"/>
          <w:color w:val="auto"/>
          <w:sz w:val="21"/>
        </w:rPr>
      </w:pPr>
    </w:p>
    <w:p w14:paraId="394046A4">
      <w:pPr>
        <w:spacing w:line="243" w:lineRule="auto"/>
        <w:rPr>
          <w:rFonts w:ascii="Arial"/>
          <w:color w:val="auto"/>
          <w:sz w:val="21"/>
        </w:rPr>
      </w:pPr>
    </w:p>
    <w:p w14:paraId="7E8A27D7">
      <w:pPr>
        <w:spacing w:line="243" w:lineRule="auto"/>
        <w:rPr>
          <w:rFonts w:ascii="Arial"/>
          <w:color w:val="auto"/>
          <w:sz w:val="21"/>
        </w:rPr>
      </w:pPr>
    </w:p>
    <w:p w14:paraId="443E214B">
      <w:pPr>
        <w:spacing w:line="243" w:lineRule="auto"/>
        <w:rPr>
          <w:rFonts w:ascii="Arial"/>
          <w:color w:val="auto"/>
          <w:sz w:val="21"/>
        </w:rPr>
      </w:pPr>
    </w:p>
    <w:p w14:paraId="781B2D07">
      <w:pPr>
        <w:spacing w:line="243" w:lineRule="auto"/>
        <w:rPr>
          <w:rFonts w:ascii="Arial"/>
          <w:color w:val="auto"/>
          <w:sz w:val="21"/>
        </w:rPr>
      </w:pPr>
    </w:p>
    <w:p w14:paraId="09D90534">
      <w:pPr>
        <w:spacing w:line="243" w:lineRule="auto"/>
        <w:rPr>
          <w:rFonts w:ascii="Arial"/>
          <w:color w:val="auto"/>
          <w:sz w:val="21"/>
        </w:rPr>
      </w:pPr>
    </w:p>
    <w:p w14:paraId="4BDE4497">
      <w:pPr>
        <w:spacing w:line="243" w:lineRule="auto"/>
        <w:rPr>
          <w:rFonts w:ascii="Arial"/>
          <w:color w:val="auto"/>
          <w:sz w:val="21"/>
        </w:rPr>
      </w:pPr>
    </w:p>
    <w:p w14:paraId="4A389076">
      <w:pPr>
        <w:spacing w:line="243" w:lineRule="auto"/>
        <w:rPr>
          <w:rFonts w:ascii="Arial"/>
          <w:color w:val="auto"/>
          <w:sz w:val="21"/>
        </w:rPr>
      </w:pPr>
    </w:p>
    <w:p w14:paraId="1A102EA9">
      <w:pPr>
        <w:spacing w:line="243" w:lineRule="auto"/>
        <w:rPr>
          <w:rFonts w:ascii="Arial"/>
          <w:color w:val="auto"/>
          <w:sz w:val="21"/>
        </w:rPr>
      </w:pPr>
    </w:p>
    <w:p w14:paraId="11346F29">
      <w:pPr>
        <w:spacing w:line="243" w:lineRule="auto"/>
        <w:rPr>
          <w:rFonts w:ascii="Arial"/>
          <w:color w:val="auto"/>
          <w:sz w:val="21"/>
        </w:rPr>
      </w:pPr>
    </w:p>
    <w:p w14:paraId="757AB0BE">
      <w:pPr>
        <w:spacing w:line="243" w:lineRule="auto"/>
        <w:rPr>
          <w:rFonts w:ascii="Arial"/>
          <w:color w:val="auto"/>
          <w:sz w:val="21"/>
        </w:rPr>
      </w:pPr>
    </w:p>
    <w:p w14:paraId="57AE70F4">
      <w:pPr>
        <w:spacing w:line="243" w:lineRule="auto"/>
        <w:rPr>
          <w:rFonts w:ascii="Arial"/>
          <w:color w:val="auto"/>
          <w:sz w:val="21"/>
        </w:rPr>
      </w:pPr>
    </w:p>
    <w:p w14:paraId="39924D9D">
      <w:pPr>
        <w:spacing w:line="243" w:lineRule="auto"/>
        <w:rPr>
          <w:rFonts w:ascii="Arial"/>
          <w:color w:val="auto"/>
          <w:sz w:val="21"/>
        </w:rPr>
      </w:pPr>
    </w:p>
    <w:p w14:paraId="37F36904">
      <w:pPr>
        <w:spacing w:line="243" w:lineRule="auto"/>
        <w:rPr>
          <w:rFonts w:ascii="Arial"/>
          <w:color w:val="auto"/>
          <w:sz w:val="21"/>
        </w:rPr>
      </w:pPr>
    </w:p>
    <w:p w14:paraId="285FDBC3">
      <w:pPr>
        <w:spacing w:line="219" w:lineRule="auto"/>
        <w:rPr>
          <w:color w:val="auto"/>
          <w:sz w:val="18"/>
          <w:szCs w:val="18"/>
        </w:rPr>
        <w:sectPr>
          <w:footerReference r:id="rId11" w:type="default"/>
          <w:pgSz w:w="11906" w:h="16838"/>
          <w:pgMar w:top="1701" w:right="1474" w:bottom="1417" w:left="1474" w:header="0" w:footer="0" w:gutter="0"/>
          <w:pgNumType w:fmt="decimal"/>
          <w:cols w:space="720" w:num="1"/>
        </w:sectPr>
      </w:pPr>
    </w:p>
    <w:p w14:paraId="185C066B">
      <w:pPr>
        <w:spacing w:before="91" w:line="222" w:lineRule="auto"/>
        <w:jc w:val="center"/>
        <w:rPr>
          <w:rFonts w:ascii="仿宋" w:hAnsi="仿宋" w:eastAsia="仿宋" w:cs="仿宋"/>
          <w:color w:val="auto"/>
          <w:sz w:val="28"/>
          <w:szCs w:val="28"/>
        </w:rPr>
      </w:pPr>
      <w:r>
        <w:rPr>
          <w:rFonts w:ascii="仿宋" w:hAnsi="仿宋" w:eastAsia="仿宋" w:cs="仿宋"/>
          <w:b/>
          <w:bCs/>
          <w:color w:val="auto"/>
          <w:spacing w:val="-4"/>
          <w:sz w:val="28"/>
          <w:szCs w:val="28"/>
        </w:rPr>
        <w:t>三、授权委托书及投标代表身份证复印件</w:t>
      </w:r>
    </w:p>
    <w:p w14:paraId="19EEC7FD">
      <w:pPr>
        <w:spacing w:line="331" w:lineRule="auto"/>
        <w:rPr>
          <w:rFonts w:ascii="Arial"/>
          <w:color w:val="auto"/>
          <w:sz w:val="21"/>
        </w:rPr>
      </w:pPr>
    </w:p>
    <w:p w14:paraId="1CF3A736">
      <w:pPr>
        <w:spacing w:line="331" w:lineRule="auto"/>
        <w:rPr>
          <w:rFonts w:ascii="Arial"/>
          <w:color w:val="auto"/>
          <w:sz w:val="21"/>
        </w:rPr>
      </w:pPr>
    </w:p>
    <w:p w14:paraId="0AEF3C41">
      <w:pPr>
        <w:pStyle w:val="4"/>
        <w:spacing w:before="91" w:line="219" w:lineRule="auto"/>
        <w:ind w:left="12"/>
        <w:rPr>
          <w:color w:val="auto"/>
          <w:sz w:val="28"/>
          <w:szCs w:val="28"/>
        </w:rPr>
      </w:pPr>
      <w:r>
        <w:rPr>
          <w:color w:val="auto"/>
          <w:spacing w:val="-2"/>
          <w:sz w:val="28"/>
          <w:szCs w:val="28"/>
        </w:rPr>
        <w:t>本授权委托书声明：</w:t>
      </w:r>
    </w:p>
    <w:p w14:paraId="7D6B416B">
      <w:pPr>
        <w:pStyle w:val="4"/>
        <w:tabs>
          <w:tab w:val="left" w:pos="158"/>
        </w:tabs>
        <w:spacing w:before="291" w:line="406" w:lineRule="auto"/>
        <w:ind w:firstLine="613"/>
        <w:jc w:val="both"/>
        <w:rPr>
          <w:color w:val="auto"/>
          <w:sz w:val="28"/>
          <w:szCs w:val="28"/>
        </w:rPr>
      </w:pPr>
      <w:r>
        <w:rPr>
          <w:color w:val="auto"/>
          <w:spacing w:val="6"/>
          <w:sz w:val="28"/>
          <w:szCs w:val="28"/>
        </w:rPr>
        <w:t xml:space="preserve">我 </w:t>
      </w:r>
      <w:r>
        <w:rPr>
          <w:color w:val="auto"/>
          <w:spacing w:val="6"/>
          <w:sz w:val="28"/>
          <w:szCs w:val="28"/>
          <w:u w:val="single" w:color="auto"/>
        </w:rPr>
        <w:t xml:space="preserve">    （姓名） </w:t>
      </w:r>
      <w:r>
        <w:rPr>
          <w:color w:val="auto"/>
          <w:spacing w:val="-116"/>
          <w:sz w:val="28"/>
          <w:szCs w:val="28"/>
        </w:rPr>
        <w:t xml:space="preserve"> </w:t>
      </w:r>
      <w:r>
        <w:rPr>
          <w:color w:val="auto"/>
          <w:spacing w:val="6"/>
          <w:sz w:val="28"/>
          <w:szCs w:val="28"/>
        </w:rPr>
        <w:t>系</w:t>
      </w:r>
      <w:r>
        <w:rPr>
          <w:color w:val="auto"/>
          <w:spacing w:val="-133"/>
          <w:sz w:val="28"/>
          <w:szCs w:val="28"/>
        </w:rPr>
        <w:t xml:space="preserve"> </w:t>
      </w:r>
      <w:r>
        <w:rPr>
          <w:color w:val="auto"/>
          <w:spacing w:val="8"/>
          <w:sz w:val="28"/>
          <w:szCs w:val="28"/>
          <w:u w:val="single" w:color="auto"/>
        </w:rPr>
        <w:t xml:space="preserve">        </w:t>
      </w:r>
      <w:r>
        <w:rPr>
          <w:color w:val="auto"/>
          <w:spacing w:val="6"/>
          <w:sz w:val="28"/>
          <w:szCs w:val="28"/>
          <w:u w:val="single" w:color="auto"/>
        </w:rPr>
        <w:t>（投标申请人名称）</w:t>
      </w:r>
      <w:r>
        <w:rPr>
          <w:color w:val="auto"/>
          <w:spacing w:val="6"/>
          <w:sz w:val="28"/>
          <w:szCs w:val="28"/>
        </w:rPr>
        <w:t>的法定代表人，现</w:t>
      </w:r>
      <w:r>
        <w:rPr>
          <w:color w:val="auto"/>
          <w:spacing w:val="14"/>
          <w:sz w:val="28"/>
          <w:szCs w:val="28"/>
        </w:rPr>
        <w:t>授权委托</w:t>
      </w:r>
      <w:r>
        <w:rPr>
          <w:color w:val="auto"/>
          <w:spacing w:val="-121"/>
          <w:sz w:val="28"/>
          <w:szCs w:val="28"/>
        </w:rPr>
        <w:t xml:space="preserve"> </w:t>
      </w:r>
      <w:r>
        <w:rPr>
          <w:color w:val="auto"/>
          <w:spacing w:val="14"/>
          <w:sz w:val="28"/>
          <w:szCs w:val="28"/>
          <w:u w:val="single" w:color="auto"/>
        </w:rPr>
        <w:t xml:space="preserve">    （姓名</w:t>
      </w:r>
      <w:r>
        <w:rPr>
          <w:color w:val="auto"/>
          <w:spacing w:val="-5"/>
          <w:sz w:val="28"/>
          <w:szCs w:val="28"/>
          <w:u w:val="single" w:color="auto"/>
        </w:rPr>
        <w:t>）</w:t>
      </w:r>
      <w:r>
        <w:rPr>
          <w:color w:val="auto"/>
          <w:spacing w:val="-108"/>
          <w:sz w:val="28"/>
          <w:szCs w:val="28"/>
          <w:u w:val="single" w:color="auto"/>
        </w:rPr>
        <w:t xml:space="preserve"> </w:t>
      </w:r>
      <w:r>
        <w:rPr>
          <w:color w:val="auto"/>
          <w:spacing w:val="-5"/>
          <w:sz w:val="28"/>
          <w:szCs w:val="28"/>
          <w:u w:val="single" w:color="auto"/>
        </w:rPr>
        <w:t>（</w:t>
      </w:r>
      <w:r>
        <w:rPr>
          <w:color w:val="auto"/>
          <w:spacing w:val="14"/>
          <w:sz w:val="28"/>
          <w:szCs w:val="28"/>
          <w:u w:val="single" w:color="auto"/>
        </w:rPr>
        <w:t>身份证号</w:t>
      </w:r>
      <w:r>
        <w:rPr>
          <w:color w:val="auto"/>
          <w:spacing w:val="-5"/>
          <w:sz w:val="28"/>
          <w:szCs w:val="28"/>
          <w:u w:val="single" w:color="auto"/>
        </w:rPr>
        <w:t>：</w:t>
      </w:r>
      <w:r>
        <w:rPr>
          <w:color w:val="auto"/>
          <w:spacing w:val="8"/>
          <w:sz w:val="28"/>
          <w:szCs w:val="28"/>
          <w:u w:val="single" w:color="auto"/>
        </w:rPr>
        <w:t xml:space="preserve">           </w:t>
      </w:r>
      <w:r>
        <w:rPr>
          <w:color w:val="auto"/>
          <w:spacing w:val="-5"/>
          <w:sz w:val="28"/>
          <w:szCs w:val="28"/>
          <w:u w:val="single" w:color="auto"/>
        </w:rPr>
        <w:t>）</w:t>
      </w:r>
      <w:r>
        <w:rPr>
          <w:color w:val="auto"/>
          <w:spacing w:val="14"/>
          <w:sz w:val="28"/>
          <w:szCs w:val="28"/>
        </w:rPr>
        <w:t>以本公司的名义参加</w:t>
      </w:r>
      <w:r>
        <w:rPr>
          <w:color w:val="auto"/>
          <w:spacing w:val="10"/>
          <w:sz w:val="28"/>
          <w:szCs w:val="28"/>
        </w:rPr>
        <w:t xml:space="preserve"> </w:t>
      </w:r>
      <w:r>
        <w:rPr>
          <w:color w:val="auto"/>
          <w:sz w:val="28"/>
          <w:szCs w:val="28"/>
          <w:u w:val="single" w:color="auto"/>
        </w:rPr>
        <w:tab/>
      </w:r>
      <w:r>
        <w:rPr>
          <w:color w:val="auto"/>
          <w:spacing w:val="-2"/>
          <w:sz w:val="28"/>
          <w:szCs w:val="28"/>
          <w:u w:val="single" w:color="auto"/>
        </w:rPr>
        <w:t xml:space="preserve">（项目名称）  </w:t>
      </w:r>
      <w:r>
        <w:rPr>
          <w:color w:val="auto"/>
          <w:spacing w:val="-105"/>
          <w:sz w:val="28"/>
          <w:szCs w:val="28"/>
        </w:rPr>
        <w:t xml:space="preserve"> </w:t>
      </w:r>
      <w:r>
        <w:rPr>
          <w:color w:val="auto"/>
          <w:spacing w:val="-2"/>
          <w:sz w:val="28"/>
          <w:szCs w:val="28"/>
        </w:rPr>
        <w:t>的投标活动，以我单位的名义签署投标申请书及其他文件，</w:t>
      </w:r>
      <w:r>
        <w:rPr>
          <w:color w:val="auto"/>
          <w:spacing w:val="10"/>
          <w:sz w:val="28"/>
          <w:szCs w:val="28"/>
        </w:rPr>
        <w:t>参加投标活动、澄清、商签合同以及处理与之有关的其他事务，我及我公</w:t>
      </w:r>
      <w:r>
        <w:rPr>
          <w:color w:val="auto"/>
          <w:spacing w:val="5"/>
          <w:sz w:val="28"/>
          <w:szCs w:val="28"/>
        </w:rPr>
        <w:t>司均予以承认。</w:t>
      </w:r>
    </w:p>
    <w:p w14:paraId="5DEFBE2B">
      <w:pPr>
        <w:pStyle w:val="4"/>
        <w:spacing w:before="40" w:line="220" w:lineRule="auto"/>
        <w:ind w:left="611"/>
        <w:rPr>
          <w:color w:val="auto"/>
          <w:sz w:val="28"/>
          <w:szCs w:val="28"/>
        </w:rPr>
      </w:pPr>
      <w:r>
        <w:rPr>
          <w:color w:val="auto"/>
          <w:spacing w:val="2"/>
          <w:sz w:val="28"/>
          <w:szCs w:val="28"/>
        </w:rPr>
        <w:t>特此委托。</w:t>
      </w:r>
    </w:p>
    <w:p w14:paraId="34D453B6">
      <w:pPr>
        <w:spacing w:line="292" w:lineRule="auto"/>
        <w:rPr>
          <w:rFonts w:ascii="Arial"/>
          <w:color w:val="auto"/>
          <w:sz w:val="21"/>
        </w:rPr>
      </w:pPr>
    </w:p>
    <w:p w14:paraId="02D442A7">
      <w:pPr>
        <w:spacing w:line="293" w:lineRule="auto"/>
        <w:rPr>
          <w:rFonts w:ascii="Arial"/>
          <w:color w:val="auto"/>
          <w:sz w:val="21"/>
        </w:rPr>
      </w:pPr>
    </w:p>
    <w:p w14:paraId="52DDF4B1">
      <w:pPr>
        <w:pStyle w:val="4"/>
        <w:spacing w:before="92" w:line="398" w:lineRule="auto"/>
        <w:ind w:left="2670" w:right="663" w:hanging="676"/>
        <w:rPr>
          <w:color w:val="auto"/>
          <w:spacing w:val="2"/>
          <w:sz w:val="28"/>
          <w:szCs w:val="28"/>
        </w:rPr>
      </w:pPr>
      <w:r>
        <w:rPr>
          <w:color w:val="auto"/>
          <w:spacing w:val="3"/>
          <w:sz w:val="28"/>
          <w:szCs w:val="28"/>
        </w:rPr>
        <w:t>投标申请人</w:t>
      </w:r>
      <w:r>
        <w:rPr>
          <w:color w:val="auto"/>
          <w:spacing w:val="-12"/>
          <w:sz w:val="28"/>
          <w:szCs w:val="28"/>
        </w:rPr>
        <w:t>：</w:t>
      </w:r>
      <w:r>
        <w:rPr>
          <w:color w:val="auto"/>
          <w:spacing w:val="8"/>
          <w:sz w:val="28"/>
          <w:szCs w:val="28"/>
          <w:u w:val="single" w:color="auto"/>
        </w:rPr>
        <w:t xml:space="preserve">             </w:t>
      </w:r>
      <w:r>
        <w:rPr>
          <w:color w:val="auto"/>
          <w:spacing w:val="-12"/>
          <w:sz w:val="28"/>
          <w:szCs w:val="28"/>
        </w:rPr>
        <w:t>（</w:t>
      </w:r>
      <w:r>
        <w:rPr>
          <w:color w:val="auto"/>
          <w:spacing w:val="3"/>
          <w:sz w:val="28"/>
          <w:szCs w:val="28"/>
        </w:rPr>
        <w:t>加盖申请人单位）</w:t>
      </w:r>
      <w:r>
        <w:rPr>
          <w:color w:val="auto"/>
          <w:spacing w:val="2"/>
          <w:sz w:val="28"/>
          <w:szCs w:val="28"/>
        </w:rPr>
        <w:t xml:space="preserve"> </w:t>
      </w:r>
    </w:p>
    <w:p w14:paraId="0EF9A1AC">
      <w:pPr>
        <w:pStyle w:val="4"/>
        <w:spacing w:before="92" w:line="398" w:lineRule="auto"/>
        <w:ind w:left="2670" w:right="663" w:hanging="676"/>
        <w:rPr>
          <w:color w:val="auto"/>
          <w:sz w:val="28"/>
          <w:szCs w:val="28"/>
        </w:rPr>
      </w:pPr>
      <w:r>
        <w:rPr>
          <w:color w:val="auto"/>
          <w:spacing w:val="6"/>
          <w:sz w:val="28"/>
          <w:szCs w:val="28"/>
        </w:rPr>
        <w:t>法定代表人</w:t>
      </w:r>
      <w:r>
        <w:rPr>
          <w:color w:val="auto"/>
          <w:spacing w:val="-20"/>
          <w:sz w:val="28"/>
          <w:szCs w:val="28"/>
        </w:rPr>
        <w:t>：</w:t>
      </w:r>
      <w:r>
        <w:rPr>
          <w:color w:val="auto"/>
          <w:spacing w:val="8"/>
          <w:sz w:val="28"/>
          <w:szCs w:val="28"/>
          <w:u w:val="single" w:color="auto"/>
        </w:rPr>
        <w:t xml:space="preserve">             </w:t>
      </w:r>
      <w:r>
        <w:rPr>
          <w:color w:val="auto"/>
          <w:spacing w:val="-20"/>
          <w:sz w:val="28"/>
          <w:szCs w:val="28"/>
        </w:rPr>
        <w:t>（</w:t>
      </w:r>
      <w:r>
        <w:rPr>
          <w:color w:val="auto"/>
          <w:spacing w:val="6"/>
          <w:sz w:val="28"/>
          <w:szCs w:val="28"/>
        </w:rPr>
        <w:t>签字或盖章）</w:t>
      </w:r>
    </w:p>
    <w:p w14:paraId="26E578EB">
      <w:pPr>
        <w:pStyle w:val="4"/>
        <w:spacing w:before="42" w:line="220" w:lineRule="auto"/>
        <w:ind w:firstLine="1974" w:firstLineChars="700"/>
        <w:rPr>
          <w:color w:val="auto"/>
          <w:sz w:val="28"/>
          <w:szCs w:val="28"/>
        </w:rPr>
      </w:pPr>
      <w:r>
        <w:rPr>
          <w:color w:val="auto"/>
          <w:spacing w:val="1"/>
          <w:sz w:val="28"/>
          <w:szCs w:val="28"/>
        </w:rPr>
        <w:t>授权委托日期：</w:t>
      </w:r>
      <w:r>
        <w:rPr>
          <w:color w:val="auto"/>
          <w:spacing w:val="9"/>
          <w:sz w:val="28"/>
          <w:szCs w:val="28"/>
          <w:u w:val="single" w:color="auto"/>
        </w:rPr>
        <w:t xml:space="preserve">      </w:t>
      </w:r>
      <w:r>
        <w:rPr>
          <w:color w:val="auto"/>
          <w:spacing w:val="-127"/>
          <w:sz w:val="28"/>
          <w:szCs w:val="28"/>
        </w:rPr>
        <w:t xml:space="preserve"> </w:t>
      </w:r>
      <w:r>
        <w:rPr>
          <w:color w:val="auto"/>
          <w:spacing w:val="1"/>
          <w:sz w:val="28"/>
          <w:szCs w:val="28"/>
        </w:rPr>
        <w:t>年</w:t>
      </w:r>
      <w:r>
        <w:rPr>
          <w:color w:val="auto"/>
          <w:spacing w:val="-134"/>
          <w:sz w:val="28"/>
          <w:szCs w:val="28"/>
        </w:rPr>
        <w:t xml:space="preserve"> </w:t>
      </w:r>
      <w:r>
        <w:rPr>
          <w:color w:val="auto"/>
          <w:spacing w:val="7"/>
          <w:sz w:val="28"/>
          <w:szCs w:val="28"/>
          <w:u w:val="single" w:color="auto"/>
        </w:rPr>
        <w:t xml:space="preserve">     </w:t>
      </w:r>
      <w:r>
        <w:rPr>
          <w:color w:val="auto"/>
          <w:spacing w:val="-117"/>
          <w:sz w:val="28"/>
          <w:szCs w:val="28"/>
        </w:rPr>
        <w:t xml:space="preserve"> </w:t>
      </w:r>
      <w:r>
        <w:rPr>
          <w:color w:val="auto"/>
          <w:spacing w:val="1"/>
          <w:sz w:val="28"/>
          <w:szCs w:val="28"/>
        </w:rPr>
        <w:t>月</w:t>
      </w:r>
      <w:r>
        <w:rPr>
          <w:color w:val="auto"/>
          <w:spacing w:val="-134"/>
          <w:sz w:val="28"/>
          <w:szCs w:val="28"/>
        </w:rPr>
        <w:t xml:space="preserve"> </w:t>
      </w:r>
      <w:r>
        <w:rPr>
          <w:color w:val="auto"/>
          <w:spacing w:val="8"/>
          <w:sz w:val="28"/>
          <w:szCs w:val="28"/>
          <w:u w:val="single" w:color="auto"/>
        </w:rPr>
        <w:t xml:space="preserve">     </w:t>
      </w:r>
      <w:r>
        <w:rPr>
          <w:color w:val="auto"/>
          <w:spacing w:val="-78"/>
          <w:sz w:val="28"/>
          <w:szCs w:val="28"/>
        </w:rPr>
        <w:t xml:space="preserve"> </w:t>
      </w:r>
      <w:r>
        <w:rPr>
          <w:color w:val="auto"/>
          <w:spacing w:val="1"/>
          <w:sz w:val="28"/>
          <w:szCs w:val="28"/>
        </w:rPr>
        <w:t>日</w:t>
      </w:r>
    </w:p>
    <w:p w14:paraId="0D3C4614">
      <w:pPr>
        <w:spacing w:line="279" w:lineRule="auto"/>
        <w:rPr>
          <w:rFonts w:ascii="Arial"/>
          <w:color w:val="auto"/>
          <w:sz w:val="21"/>
        </w:rPr>
      </w:pPr>
    </w:p>
    <w:p w14:paraId="72550BBF">
      <w:pPr>
        <w:spacing w:line="279" w:lineRule="auto"/>
        <w:rPr>
          <w:rFonts w:ascii="Arial"/>
          <w:color w:val="auto"/>
          <w:sz w:val="21"/>
        </w:rPr>
      </w:pPr>
    </w:p>
    <w:p w14:paraId="7CDE4D89">
      <w:pPr>
        <w:spacing w:line="279" w:lineRule="auto"/>
        <w:rPr>
          <w:rFonts w:ascii="Arial"/>
          <w:color w:val="auto"/>
          <w:sz w:val="21"/>
        </w:rPr>
      </w:pPr>
    </w:p>
    <w:p w14:paraId="475DFBCC">
      <w:pPr>
        <w:spacing w:line="280" w:lineRule="auto"/>
        <w:rPr>
          <w:rFonts w:ascii="Arial"/>
          <w:color w:val="auto"/>
          <w:sz w:val="21"/>
        </w:rPr>
      </w:pPr>
    </w:p>
    <w:p w14:paraId="3B80BD90">
      <w:pPr>
        <w:spacing w:line="280" w:lineRule="auto"/>
        <w:rPr>
          <w:rFonts w:ascii="Arial"/>
          <w:color w:val="auto"/>
          <w:sz w:val="21"/>
        </w:rPr>
      </w:pPr>
    </w:p>
    <w:p w14:paraId="0FD05E79">
      <w:pPr>
        <w:spacing w:line="280" w:lineRule="auto"/>
        <w:rPr>
          <w:rFonts w:ascii="Arial"/>
          <w:color w:val="auto"/>
          <w:sz w:val="21"/>
        </w:rPr>
      </w:pPr>
    </w:p>
    <w:p w14:paraId="20D1BA22">
      <w:pPr>
        <w:spacing w:before="91" w:line="222" w:lineRule="auto"/>
        <w:ind w:left="18"/>
        <w:rPr>
          <w:rFonts w:ascii="Calibri" w:hAnsi="Calibri" w:eastAsia="Calibri" w:cs="Calibri"/>
          <w:color w:val="auto"/>
          <w:sz w:val="28"/>
          <w:szCs w:val="28"/>
        </w:rPr>
      </w:pPr>
      <w:r>
        <w:rPr>
          <w:rFonts w:ascii="仿宋" w:hAnsi="仿宋" w:eastAsia="仿宋" w:cs="仿宋"/>
          <w:b/>
          <w:bCs/>
          <w:color w:val="auto"/>
          <w:spacing w:val="-4"/>
          <w:sz w:val="28"/>
          <w:szCs w:val="28"/>
        </w:rPr>
        <w:t>投标代表身份证复印件</w:t>
      </w:r>
      <w:r>
        <w:rPr>
          <w:rFonts w:ascii="Calibri" w:hAnsi="Calibri" w:eastAsia="Calibri" w:cs="Calibri"/>
          <w:b/>
          <w:bCs/>
          <w:color w:val="auto"/>
          <w:spacing w:val="-4"/>
          <w:sz w:val="28"/>
          <w:szCs w:val="28"/>
        </w:rPr>
        <w:t>:</w:t>
      </w:r>
    </w:p>
    <w:p w14:paraId="0E4312DF">
      <w:pPr>
        <w:spacing w:line="222" w:lineRule="auto"/>
        <w:rPr>
          <w:rFonts w:ascii="Calibri" w:hAnsi="Calibri" w:eastAsia="Calibri" w:cs="Calibri"/>
          <w:color w:val="auto"/>
          <w:sz w:val="28"/>
          <w:szCs w:val="28"/>
        </w:rPr>
        <w:sectPr>
          <w:footerReference r:id="rId12" w:type="default"/>
          <w:pgSz w:w="11906" w:h="16838"/>
          <w:pgMar w:top="1701" w:right="1474" w:bottom="1417" w:left="1474" w:header="0" w:footer="1072" w:gutter="0"/>
          <w:pgNumType w:fmt="decimal"/>
          <w:cols w:space="720" w:num="1"/>
        </w:sectPr>
      </w:pPr>
    </w:p>
    <w:p w14:paraId="4DE0AB39">
      <w:pPr>
        <w:spacing w:before="91" w:line="223" w:lineRule="auto"/>
        <w:jc w:val="center"/>
        <w:rPr>
          <w:rFonts w:ascii="仿宋" w:hAnsi="仿宋" w:eastAsia="仿宋" w:cs="仿宋"/>
          <w:color w:val="auto"/>
          <w:sz w:val="28"/>
          <w:szCs w:val="28"/>
        </w:rPr>
      </w:pPr>
      <w:r>
        <w:rPr>
          <w:rFonts w:ascii="仿宋" w:hAnsi="仿宋" w:eastAsia="仿宋" w:cs="仿宋"/>
          <w:b/>
          <w:bCs/>
          <w:color w:val="auto"/>
          <w:spacing w:val="-7"/>
          <w:sz w:val="28"/>
          <w:szCs w:val="28"/>
        </w:rPr>
        <w:t>四、没有重大违法记录声明</w:t>
      </w:r>
    </w:p>
    <w:p w14:paraId="58DE046B">
      <w:pPr>
        <w:spacing w:line="269" w:lineRule="auto"/>
        <w:rPr>
          <w:rFonts w:ascii="Arial"/>
          <w:color w:val="auto"/>
          <w:sz w:val="21"/>
        </w:rPr>
      </w:pPr>
    </w:p>
    <w:p w14:paraId="5EEDE36B">
      <w:pPr>
        <w:spacing w:line="270" w:lineRule="auto"/>
        <w:rPr>
          <w:rFonts w:ascii="Arial"/>
          <w:color w:val="auto"/>
          <w:sz w:val="21"/>
        </w:rPr>
      </w:pPr>
    </w:p>
    <w:p w14:paraId="4C03F112">
      <w:pPr>
        <w:pStyle w:val="4"/>
        <w:spacing w:before="91" w:line="221" w:lineRule="auto"/>
        <w:rPr>
          <w:color w:val="auto"/>
          <w:sz w:val="28"/>
          <w:szCs w:val="28"/>
        </w:rPr>
      </w:pPr>
      <w:r>
        <w:rPr>
          <w:color w:val="auto"/>
          <w:spacing w:val="2"/>
          <w:sz w:val="28"/>
          <w:szCs w:val="28"/>
        </w:rPr>
        <w:t>致：</w:t>
      </w:r>
      <w:r>
        <w:rPr>
          <w:color w:val="auto"/>
          <w:sz w:val="28"/>
          <w:szCs w:val="28"/>
          <w:u w:val="single" w:color="auto"/>
        </w:rPr>
        <w:t xml:space="preserve">            </w:t>
      </w:r>
    </w:p>
    <w:p w14:paraId="5D0A63CF">
      <w:pPr>
        <w:pStyle w:val="4"/>
        <w:tabs>
          <w:tab w:val="left" w:pos="2215"/>
        </w:tabs>
        <w:spacing w:before="288" w:line="406" w:lineRule="auto"/>
        <w:ind w:firstLine="588"/>
        <w:jc w:val="both"/>
        <w:rPr>
          <w:color w:val="auto"/>
          <w:sz w:val="28"/>
          <w:szCs w:val="28"/>
        </w:rPr>
      </w:pPr>
      <w:r>
        <w:rPr>
          <w:color w:val="auto"/>
          <w:sz w:val="28"/>
          <w:szCs w:val="28"/>
          <w:u w:val="single" w:color="auto"/>
        </w:rPr>
        <w:tab/>
      </w:r>
      <w:r>
        <w:rPr>
          <w:color w:val="auto"/>
          <w:spacing w:val="-127"/>
          <w:sz w:val="28"/>
          <w:szCs w:val="28"/>
        </w:rPr>
        <w:t xml:space="preserve"> </w:t>
      </w:r>
      <w:r>
        <w:rPr>
          <w:color w:val="auto"/>
          <w:spacing w:val="6"/>
          <w:sz w:val="28"/>
          <w:szCs w:val="28"/>
        </w:rPr>
        <w:t>本公司（公司名称）参加</w:t>
      </w:r>
      <w:r>
        <w:rPr>
          <w:color w:val="auto"/>
          <w:spacing w:val="-133"/>
          <w:sz w:val="28"/>
          <w:szCs w:val="28"/>
        </w:rPr>
        <w:t xml:space="preserve"> </w:t>
      </w:r>
      <w:r>
        <w:rPr>
          <w:color w:val="auto"/>
          <w:spacing w:val="6"/>
          <w:sz w:val="28"/>
          <w:szCs w:val="28"/>
          <w:u w:val="single" w:color="auto"/>
        </w:rPr>
        <w:t xml:space="preserve">           </w:t>
      </w:r>
      <w:r>
        <w:rPr>
          <w:color w:val="auto"/>
          <w:spacing w:val="6"/>
          <w:sz w:val="28"/>
          <w:szCs w:val="28"/>
        </w:rPr>
        <w:t>（项目名称）</w:t>
      </w:r>
      <w:r>
        <w:rPr>
          <w:color w:val="auto"/>
          <w:spacing w:val="5"/>
          <w:sz w:val="28"/>
          <w:szCs w:val="28"/>
        </w:rPr>
        <w:t>的投</w:t>
      </w:r>
      <w:r>
        <w:rPr>
          <w:color w:val="auto"/>
          <w:spacing w:val="10"/>
          <w:sz w:val="28"/>
          <w:szCs w:val="28"/>
        </w:rPr>
        <w:t>标活动，现承诺我公司在参加采购活动前三年内，在经营</w:t>
      </w:r>
      <w:r>
        <w:rPr>
          <w:color w:val="auto"/>
          <w:spacing w:val="9"/>
          <w:sz w:val="28"/>
          <w:szCs w:val="28"/>
        </w:rPr>
        <w:t>活动中没有重大</w:t>
      </w:r>
      <w:r>
        <w:rPr>
          <w:color w:val="auto"/>
          <w:spacing w:val="10"/>
          <w:sz w:val="28"/>
          <w:szCs w:val="28"/>
        </w:rPr>
        <w:t>违法记录。我单位未因违法经营受到刑事处罚或者责令停</w:t>
      </w:r>
      <w:r>
        <w:rPr>
          <w:color w:val="auto"/>
          <w:spacing w:val="9"/>
          <w:sz w:val="28"/>
          <w:szCs w:val="28"/>
        </w:rPr>
        <w:t>产停业、吊销许</w:t>
      </w:r>
      <w:r>
        <w:rPr>
          <w:color w:val="auto"/>
          <w:spacing w:val="10"/>
          <w:sz w:val="28"/>
          <w:szCs w:val="28"/>
        </w:rPr>
        <w:t>可证或者执照、较大数额罚款等行政处罚，诚实守信，合</w:t>
      </w:r>
      <w:r>
        <w:rPr>
          <w:color w:val="auto"/>
          <w:spacing w:val="9"/>
          <w:sz w:val="28"/>
          <w:szCs w:val="28"/>
        </w:rPr>
        <w:t>法经营。如违反</w:t>
      </w:r>
      <w:r>
        <w:rPr>
          <w:color w:val="auto"/>
          <w:spacing w:val="6"/>
          <w:sz w:val="28"/>
          <w:szCs w:val="28"/>
        </w:rPr>
        <w:t>以上承诺，本公司愿承担一切法律责任。</w:t>
      </w:r>
    </w:p>
    <w:p w14:paraId="3D1AB10A">
      <w:pPr>
        <w:spacing w:line="297" w:lineRule="auto"/>
        <w:rPr>
          <w:rFonts w:ascii="Arial"/>
          <w:color w:val="auto"/>
          <w:sz w:val="21"/>
        </w:rPr>
      </w:pPr>
    </w:p>
    <w:p w14:paraId="4F7C0091">
      <w:pPr>
        <w:spacing w:line="298" w:lineRule="auto"/>
        <w:rPr>
          <w:rFonts w:ascii="Arial"/>
          <w:color w:val="auto"/>
          <w:sz w:val="21"/>
        </w:rPr>
      </w:pPr>
    </w:p>
    <w:p w14:paraId="1706D690">
      <w:pPr>
        <w:spacing w:line="298" w:lineRule="auto"/>
        <w:rPr>
          <w:rFonts w:ascii="Arial"/>
          <w:color w:val="auto"/>
          <w:sz w:val="21"/>
        </w:rPr>
      </w:pPr>
    </w:p>
    <w:p w14:paraId="1141C9FE">
      <w:pPr>
        <w:spacing w:line="298" w:lineRule="auto"/>
        <w:rPr>
          <w:rFonts w:ascii="Arial"/>
          <w:color w:val="auto"/>
          <w:sz w:val="21"/>
        </w:rPr>
      </w:pPr>
    </w:p>
    <w:p w14:paraId="2A99A4E3">
      <w:pPr>
        <w:pStyle w:val="4"/>
        <w:spacing w:before="91" w:line="219" w:lineRule="auto"/>
        <w:ind w:right="8"/>
        <w:jc w:val="right"/>
        <w:rPr>
          <w:color w:val="auto"/>
          <w:sz w:val="28"/>
          <w:szCs w:val="28"/>
        </w:rPr>
      </w:pPr>
      <w:r>
        <w:rPr>
          <w:color w:val="auto"/>
          <w:spacing w:val="9"/>
          <w:sz w:val="28"/>
          <w:szCs w:val="28"/>
        </w:rPr>
        <w:t>投标人名称</w:t>
      </w:r>
      <w:r>
        <w:rPr>
          <w:color w:val="auto"/>
          <w:spacing w:val="-12"/>
          <w:sz w:val="28"/>
          <w:szCs w:val="28"/>
        </w:rPr>
        <w:t>：（</w:t>
      </w:r>
      <w:r>
        <w:rPr>
          <w:color w:val="auto"/>
          <w:spacing w:val="9"/>
          <w:sz w:val="28"/>
          <w:szCs w:val="28"/>
        </w:rPr>
        <w:t>盖章）</w:t>
      </w:r>
    </w:p>
    <w:p w14:paraId="5B129D51">
      <w:pPr>
        <w:spacing w:line="273" w:lineRule="auto"/>
        <w:rPr>
          <w:rFonts w:ascii="Arial"/>
          <w:color w:val="auto"/>
          <w:sz w:val="21"/>
        </w:rPr>
      </w:pPr>
    </w:p>
    <w:p w14:paraId="259293F5">
      <w:pPr>
        <w:spacing w:line="273" w:lineRule="auto"/>
        <w:rPr>
          <w:rFonts w:ascii="Arial"/>
          <w:color w:val="auto"/>
          <w:sz w:val="21"/>
        </w:rPr>
      </w:pPr>
    </w:p>
    <w:p w14:paraId="6CA97B3C">
      <w:pPr>
        <w:spacing w:line="273" w:lineRule="auto"/>
        <w:rPr>
          <w:rFonts w:ascii="Arial"/>
          <w:color w:val="auto"/>
          <w:sz w:val="21"/>
        </w:rPr>
      </w:pPr>
    </w:p>
    <w:p w14:paraId="78E58485">
      <w:pPr>
        <w:pStyle w:val="4"/>
        <w:spacing w:before="91" w:line="220" w:lineRule="auto"/>
        <w:jc w:val="right"/>
        <w:rPr>
          <w:color w:val="auto"/>
          <w:sz w:val="28"/>
          <w:szCs w:val="28"/>
        </w:rPr>
        <w:sectPr>
          <w:footerReference r:id="rId13" w:type="default"/>
          <w:pgSz w:w="11906" w:h="16838"/>
          <w:pgMar w:top="1701" w:right="1474" w:bottom="1417" w:left="1474" w:header="0" w:footer="1072" w:gutter="0"/>
          <w:pgNumType w:fmt="decimal"/>
          <w:cols w:space="720" w:num="1"/>
        </w:sectPr>
      </w:pPr>
      <w:r>
        <w:rPr>
          <w:color w:val="auto"/>
          <w:spacing w:val="-23"/>
          <w:sz w:val="28"/>
          <w:szCs w:val="28"/>
        </w:rPr>
        <w:t>日</w:t>
      </w:r>
      <w:r>
        <w:rPr>
          <w:color w:val="auto"/>
          <w:spacing w:val="20"/>
          <w:sz w:val="28"/>
          <w:szCs w:val="28"/>
        </w:rPr>
        <w:t xml:space="preserve">期： </w:t>
      </w:r>
      <w:r>
        <w:rPr>
          <w:color w:val="auto"/>
          <w:spacing w:val="21"/>
          <w:sz w:val="28"/>
          <w:szCs w:val="28"/>
        </w:rPr>
        <w:t xml:space="preserve"> </w:t>
      </w:r>
      <w:r>
        <w:rPr>
          <w:color w:val="auto"/>
          <w:spacing w:val="-23"/>
          <w:sz w:val="28"/>
          <w:szCs w:val="28"/>
        </w:rPr>
        <w:t>年</w:t>
      </w:r>
      <w:r>
        <w:rPr>
          <w:color w:val="auto"/>
          <w:spacing w:val="20"/>
          <w:sz w:val="28"/>
          <w:szCs w:val="28"/>
        </w:rPr>
        <w:t xml:space="preserve">  </w:t>
      </w:r>
      <w:r>
        <w:rPr>
          <w:color w:val="auto"/>
          <w:spacing w:val="-23"/>
          <w:sz w:val="28"/>
          <w:szCs w:val="28"/>
        </w:rPr>
        <w:t>月</w:t>
      </w:r>
      <w:r>
        <w:rPr>
          <w:color w:val="auto"/>
          <w:spacing w:val="42"/>
          <w:sz w:val="28"/>
          <w:szCs w:val="28"/>
        </w:rPr>
        <w:t xml:space="preserve">  </w:t>
      </w:r>
      <w:r>
        <w:rPr>
          <w:color w:val="auto"/>
          <w:spacing w:val="-23"/>
          <w:sz w:val="28"/>
          <w:szCs w:val="28"/>
        </w:rPr>
        <w:t>日</w:t>
      </w:r>
    </w:p>
    <w:p w14:paraId="28260910">
      <w:pPr>
        <w:spacing w:before="91" w:line="223" w:lineRule="auto"/>
        <w:jc w:val="center"/>
        <w:rPr>
          <w:rFonts w:hint="eastAsia" w:ascii="仿宋" w:hAnsi="仿宋" w:eastAsia="仿宋" w:cs="仿宋"/>
          <w:color w:val="auto"/>
          <w:sz w:val="28"/>
          <w:szCs w:val="28"/>
          <w:lang w:eastAsia="zh-CN"/>
        </w:rPr>
      </w:pPr>
      <w:r>
        <w:rPr>
          <w:rFonts w:hint="eastAsia" w:ascii="仿宋" w:hAnsi="仿宋" w:eastAsia="仿宋" w:cs="仿宋"/>
          <w:b/>
          <w:bCs/>
          <w:color w:val="auto"/>
          <w:spacing w:val="-6"/>
          <w:sz w:val="28"/>
          <w:szCs w:val="28"/>
          <w:lang w:val="en-US" w:eastAsia="zh-CN"/>
        </w:rPr>
        <w:t>五</w:t>
      </w:r>
      <w:r>
        <w:rPr>
          <w:rFonts w:ascii="仿宋" w:hAnsi="仿宋" w:eastAsia="仿宋" w:cs="仿宋"/>
          <w:b/>
          <w:bCs/>
          <w:color w:val="auto"/>
          <w:spacing w:val="-6"/>
          <w:sz w:val="28"/>
          <w:szCs w:val="28"/>
        </w:rPr>
        <w:t>、</w:t>
      </w:r>
      <w:r>
        <w:rPr>
          <w:rFonts w:hint="eastAsia" w:ascii="仿宋" w:hAnsi="仿宋" w:eastAsia="仿宋" w:cs="仿宋"/>
          <w:b/>
          <w:bCs/>
          <w:color w:val="auto"/>
          <w:spacing w:val="-6"/>
          <w:sz w:val="28"/>
          <w:szCs w:val="28"/>
          <w:lang w:val="en-US" w:eastAsia="zh-CN"/>
        </w:rPr>
        <w:t>方案书</w:t>
      </w:r>
    </w:p>
    <w:p w14:paraId="1DCD2A3F">
      <w:pPr>
        <w:spacing w:before="78" w:line="222" w:lineRule="auto"/>
        <w:jc w:val="left"/>
        <w:rPr>
          <w:rFonts w:hint="eastAsia" w:ascii="仿宋" w:hAnsi="仿宋" w:eastAsia="仿宋" w:cs="仿宋"/>
          <w:b/>
          <w:bCs/>
          <w:color w:val="auto"/>
          <w:spacing w:val="-4"/>
          <w:sz w:val="28"/>
          <w:szCs w:val="28"/>
        </w:rPr>
      </w:pPr>
    </w:p>
    <w:p w14:paraId="5D36FB8A">
      <w:pPr>
        <w:spacing w:before="78" w:line="222" w:lineRule="auto"/>
        <w:jc w:val="left"/>
        <w:rPr>
          <w:rFonts w:ascii="仿宋" w:hAnsi="仿宋" w:eastAsia="仿宋" w:cs="仿宋"/>
          <w:b/>
          <w:bCs/>
          <w:color w:val="auto"/>
          <w:spacing w:val="-4"/>
          <w:sz w:val="28"/>
          <w:szCs w:val="28"/>
        </w:rPr>
      </w:pPr>
      <w:r>
        <w:rPr>
          <w:rFonts w:hint="eastAsia" w:ascii="仿宋" w:hAnsi="仿宋" w:eastAsia="仿宋" w:cs="仿宋"/>
          <w:b/>
          <w:bCs/>
          <w:color w:val="auto"/>
          <w:spacing w:val="-4"/>
          <w:sz w:val="28"/>
          <w:szCs w:val="28"/>
        </w:rPr>
        <w:t>（一）报价文件</w:t>
      </w:r>
    </w:p>
    <w:p w14:paraId="4020DFF0">
      <w:pPr>
        <w:spacing w:line="290" w:lineRule="auto"/>
        <w:rPr>
          <w:rFonts w:ascii="Arial"/>
          <w:color w:val="auto"/>
          <w:sz w:val="21"/>
        </w:rPr>
      </w:pPr>
    </w:p>
    <w:p w14:paraId="69A67582">
      <w:pPr>
        <w:spacing w:line="290" w:lineRule="auto"/>
        <w:rPr>
          <w:rFonts w:ascii="Arial"/>
          <w:color w:val="auto"/>
          <w:sz w:val="21"/>
        </w:rPr>
      </w:pPr>
    </w:p>
    <w:p w14:paraId="773F602B">
      <w:pPr>
        <w:spacing w:before="78" w:line="222" w:lineRule="auto"/>
        <w:jc w:val="center"/>
        <w:rPr>
          <w:rFonts w:ascii="仿宋" w:hAnsi="仿宋" w:eastAsia="仿宋" w:cs="仿宋"/>
          <w:color w:val="auto"/>
          <w:sz w:val="24"/>
          <w:szCs w:val="24"/>
        </w:rPr>
      </w:pPr>
      <w:r>
        <w:rPr>
          <w:rFonts w:ascii="仿宋" w:hAnsi="仿宋" w:eastAsia="仿宋" w:cs="仿宋"/>
          <w:color w:val="auto"/>
          <w:spacing w:val="-4"/>
          <w:sz w:val="24"/>
          <w:szCs w:val="24"/>
        </w:rPr>
        <w:t>1.报价一览表</w:t>
      </w:r>
    </w:p>
    <w:p w14:paraId="5E64D7FD">
      <w:pPr>
        <w:spacing w:before="190" w:line="221" w:lineRule="auto"/>
        <w:jc w:val="right"/>
        <w:rPr>
          <w:rFonts w:ascii="仿宋" w:hAnsi="仿宋" w:eastAsia="仿宋" w:cs="仿宋"/>
          <w:color w:val="auto"/>
          <w:sz w:val="24"/>
          <w:szCs w:val="24"/>
        </w:rPr>
      </w:pPr>
      <w:r>
        <w:rPr>
          <w:rFonts w:ascii="仿宋" w:hAnsi="仿宋" w:eastAsia="仿宋" w:cs="仿宋"/>
          <w:color w:val="auto"/>
          <w:spacing w:val="-10"/>
          <w:sz w:val="24"/>
          <w:szCs w:val="24"/>
        </w:rPr>
        <w:t>金额单位：人民币元</w:t>
      </w:r>
    </w:p>
    <w:p w14:paraId="7402F750">
      <w:pPr>
        <w:spacing w:line="14" w:lineRule="exact"/>
        <w:rPr>
          <w:color w:val="auto"/>
        </w:rPr>
      </w:pPr>
    </w:p>
    <w:tbl>
      <w:tblPr>
        <w:tblStyle w:val="9"/>
        <w:tblW w:w="897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2955"/>
        <w:gridCol w:w="975"/>
        <w:gridCol w:w="990"/>
        <w:gridCol w:w="1500"/>
        <w:gridCol w:w="1530"/>
      </w:tblGrid>
      <w:tr w14:paraId="49FF2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noWrap w:val="0"/>
            <w:vAlign w:val="center"/>
          </w:tcPr>
          <w:p w14:paraId="600265C7">
            <w:pPr>
              <w:widowControl/>
              <w:spacing w:line="440" w:lineRule="exact"/>
              <w:jc w:val="center"/>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合同包</w:t>
            </w:r>
          </w:p>
        </w:tc>
        <w:tc>
          <w:tcPr>
            <w:tcW w:w="2955" w:type="dxa"/>
            <w:noWrap w:val="0"/>
            <w:vAlign w:val="center"/>
          </w:tcPr>
          <w:p w14:paraId="3C2BFA4E">
            <w:pPr>
              <w:widowControl/>
              <w:spacing w:line="440" w:lineRule="exact"/>
              <w:jc w:val="center"/>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项目名称</w:t>
            </w:r>
          </w:p>
        </w:tc>
        <w:tc>
          <w:tcPr>
            <w:tcW w:w="975" w:type="dxa"/>
            <w:noWrap w:val="0"/>
            <w:vAlign w:val="center"/>
          </w:tcPr>
          <w:p w14:paraId="28C400C8">
            <w:pPr>
              <w:widowControl/>
              <w:spacing w:line="440" w:lineRule="exact"/>
              <w:jc w:val="center"/>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数量</w:t>
            </w:r>
          </w:p>
        </w:tc>
        <w:tc>
          <w:tcPr>
            <w:tcW w:w="990" w:type="dxa"/>
            <w:noWrap w:val="0"/>
            <w:vAlign w:val="center"/>
          </w:tcPr>
          <w:p w14:paraId="794C854E">
            <w:pPr>
              <w:widowControl/>
              <w:spacing w:line="440" w:lineRule="exact"/>
              <w:jc w:val="center"/>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单位</w:t>
            </w:r>
          </w:p>
        </w:tc>
        <w:tc>
          <w:tcPr>
            <w:tcW w:w="1500" w:type="dxa"/>
            <w:noWrap w:val="0"/>
            <w:vAlign w:val="center"/>
          </w:tcPr>
          <w:p w14:paraId="1CDCA804">
            <w:pPr>
              <w:widowControl/>
              <w:spacing w:line="440" w:lineRule="exact"/>
              <w:jc w:val="center"/>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预算金额</w:t>
            </w:r>
          </w:p>
        </w:tc>
        <w:tc>
          <w:tcPr>
            <w:tcW w:w="1530" w:type="dxa"/>
            <w:noWrap w:val="0"/>
            <w:vAlign w:val="center"/>
          </w:tcPr>
          <w:p w14:paraId="59FF2653">
            <w:pPr>
              <w:widowControl/>
              <w:spacing w:line="440" w:lineRule="exact"/>
              <w:jc w:val="center"/>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报价</w:t>
            </w:r>
          </w:p>
        </w:tc>
      </w:tr>
      <w:tr w14:paraId="06DA9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noWrap w:val="0"/>
            <w:vAlign w:val="center"/>
          </w:tcPr>
          <w:p w14:paraId="05D3479A">
            <w:pPr>
              <w:widowControl/>
              <w:spacing w:line="440" w:lineRule="exact"/>
              <w:jc w:val="center"/>
              <w:rPr>
                <w:rFonts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w:t>
            </w:r>
          </w:p>
        </w:tc>
        <w:tc>
          <w:tcPr>
            <w:tcW w:w="2955" w:type="dxa"/>
            <w:noWrap w:val="0"/>
            <w:vAlign w:val="center"/>
          </w:tcPr>
          <w:p w14:paraId="13B69659">
            <w:pPr>
              <w:widowControl/>
              <w:spacing w:line="440" w:lineRule="exact"/>
              <w:jc w:val="center"/>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内部控制风险评价专项</w:t>
            </w:r>
          </w:p>
          <w:p w14:paraId="04047C7E">
            <w:pPr>
              <w:widowControl/>
              <w:spacing w:line="440" w:lineRule="exact"/>
              <w:jc w:val="center"/>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审计服务项目</w:t>
            </w:r>
          </w:p>
        </w:tc>
        <w:tc>
          <w:tcPr>
            <w:tcW w:w="975" w:type="dxa"/>
            <w:noWrap w:val="0"/>
            <w:vAlign w:val="center"/>
          </w:tcPr>
          <w:p w14:paraId="4B6CCA17">
            <w:pPr>
              <w:widowControl/>
              <w:spacing w:line="440" w:lineRule="exact"/>
              <w:jc w:val="center"/>
              <w:rPr>
                <w:rFonts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1</w:t>
            </w:r>
          </w:p>
        </w:tc>
        <w:tc>
          <w:tcPr>
            <w:tcW w:w="990" w:type="dxa"/>
            <w:noWrap w:val="0"/>
            <w:vAlign w:val="center"/>
          </w:tcPr>
          <w:p w14:paraId="0588F8E0">
            <w:pPr>
              <w:widowControl/>
              <w:spacing w:line="440" w:lineRule="exact"/>
              <w:jc w:val="center"/>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项</w:t>
            </w:r>
          </w:p>
        </w:tc>
        <w:tc>
          <w:tcPr>
            <w:tcW w:w="1500" w:type="dxa"/>
            <w:noWrap w:val="0"/>
            <w:vAlign w:val="center"/>
          </w:tcPr>
          <w:p w14:paraId="089255F6">
            <w:pPr>
              <w:widowControl/>
              <w:spacing w:line="440" w:lineRule="exact"/>
              <w:jc w:val="center"/>
              <w:rPr>
                <w:rFonts w:ascii="仿宋" w:hAnsi="仿宋" w:eastAsia="仿宋" w:cs="仿宋"/>
                <w:color w:val="auto"/>
                <w:sz w:val="24"/>
                <w:szCs w:val="24"/>
                <w:shd w:val="clear" w:color="auto" w:fill="FFFFFF"/>
              </w:rPr>
            </w:pPr>
          </w:p>
        </w:tc>
        <w:tc>
          <w:tcPr>
            <w:tcW w:w="1530" w:type="dxa"/>
            <w:noWrap w:val="0"/>
            <w:vAlign w:val="center"/>
          </w:tcPr>
          <w:p w14:paraId="1F95B317">
            <w:pPr>
              <w:widowControl/>
              <w:spacing w:line="440" w:lineRule="exact"/>
              <w:jc w:val="center"/>
              <w:rPr>
                <w:rFonts w:hint="eastAsia" w:ascii="仿宋" w:hAnsi="仿宋" w:eastAsia="仿宋" w:cs="仿宋"/>
                <w:color w:val="auto"/>
                <w:sz w:val="24"/>
                <w:szCs w:val="24"/>
                <w:shd w:val="clear" w:color="auto" w:fill="FFFFFF"/>
              </w:rPr>
            </w:pPr>
          </w:p>
        </w:tc>
      </w:tr>
      <w:tr w14:paraId="5167E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970" w:type="dxa"/>
            <w:gridSpan w:val="6"/>
            <w:noWrap w:val="0"/>
            <w:vAlign w:val="center"/>
          </w:tcPr>
          <w:p w14:paraId="229C50E6">
            <w:pPr>
              <w:widowControl/>
              <w:spacing w:line="440" w:lineRule="exact"/>
              <w:jc w:val="center"/>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报价金额：</w:t>
            </w:r>
            <w:r>
              <w:rPr>
                <w:rFonts w:hint="eastAsia" w:ascii="仿宋" w:hAnsi="仿宋" w:eastAsia="仿宋" w:cs="仿宋"/>
                <w:color w:val="auto"/>
                <w:sz w:val="24"/>
                <w:szCs w:val="24"/>
                <w:u w:val="single"/>
                <w:shd w:val="clear" w:color="auto" w:fill="FFFFFF"/>
              </w:rPr>
              <w:t>（大写）   万  仟  佰  拾  元  角   分</w:t>
            </w:r>
          </w:p>
        </w:tc>
      </w:tr>
    </w:tbl>
    <w:p w14:paraId="14FD5E5B">
      <w:pPr>
        <w:spacing w:before="83" w:line="230" w:lineRule="auto"/>
        <w:rPr>
          <w:rFonts w:ascii="仿宋" w:hAnsi="仿宋" w:eastAsia="仿宋" w:cs="仿宋"/>
          <w:color w:val="auto"/>
          <w:sz w:val="24"/>
          <w:szCs w:val="24"/>
        </w:rPr>
      </w:pPr>
      <w:r>
        <w:rPr>
          <w:rFonts w:ascii="仿宋" w:hAnsi="仿宋" w:eastAsia="仿宋" w:cs="仿宋"/>
          <w:color w:val="auto"/>
          <w:spacing w:val="-12"/>
          <w:sz w:val="24"/>
          <w:szCs w:val="24"/>
        </w:rPr>
        <w:t>注：</w:t>
      </w:r>
    </w:p>
    <w:p w14:paraId="7A147395">
      <w:pPr>
        <w:spacing w:line="261" w:lineRule="auto"/>
        <w:rPr>
          <w:rFonts w:hint="eastAsia" w:ascii="仿宋" w:hAnsi="仿宋" w:eastAsia="仿宋" w:cs="仿宋"/>
          <w:color w:val="auto"/>
          <w:spacing w:val="-3"/>
          <w:sz w:val="24"/>
          <w:szCs w:val="24"/>
        </w:rPr>
      </w:pPr>
      <w:r>
        <w:rPr>
          <w:rFonts w:hint="eastAsia" w:ascii="仿宋" w:hAnsi="仿宋" w:eastAsia="仿宋" w:cs="仿宋"/>
          <w:color w:val="auto"/>
          <w:spacing w:val="-3"/>
          <w:sz w:val="24"/>
          <w:szCs w:val="24"/>
          <w:lang w:val="en-US" w:eastAsia="zh-CN"/>
        </w:rPr>
        <w:t>1.</w:t>
      </w:r>
      <w:r>
        <w:rPr>
          <w:rFonts w:hint="eastAsia" w:ascii="仿宋" w:hAnsi="仿宋" w:eastAsia="仿宋" w:cs="仿宋"/>
          <w:color w:val="auto"/>
          <w:spacing w:val="-3"/>
          <w:sz w:val="24"/>
          <w:szCs w:val="24"/>
        </w:rPr>
        <w:t>上述报价为完全报价，含包餐费、劳务费、税费等所有费用，招标人将不再承担上述费用之外其他费用；</w:t>
      </w:r>
    </w:p>
    <w:p w14:paraId="56B6981C">
      <w:pPr>
        <w:spacing w:line="261" w:lineRule="auto"/>
        <w:rPr>
          <w:rFonts w:hint="eastAsia" w:ascii="仿宋" w:hAnsi="仿宋" w:eastAsia="仿宋" w:cs="仿宋"/>
          <w:color w:val="auto"/>
          <w:spacing w:val="-3"/>
          <w:sz w:val="24"/>
          <w:szCs w:val="24"/>
          <w:lang w:eastAsia="zh-CN"/>
        </w:rPr>
      </w:pPr>
      <w:r>
        <w:rPr>
          <w:rFonts w:hint="eastAsia" w:ascii="仿宋" w:hAnsi="仿宋" w:eastAsia="仿宋" w:cs="仿宋"/>
          <w:color w:val="auto"/>
          <w:spacing w:val="-3"/>
          <w:sz w:val="24"/>
          <w:szCs w:val="24"/>
          <w:lang w:val="en-US" w:eastAsia="zh-CN"/>
        </w:rPr>
        <w:t>2.</w:t>
      </w:r>
      <w:r>
        <w:rPr>
          <w:rFonts w:hint="eastAsia" w:ascii="仿宋" w:hAnsi="仿宋" w:eastAsia="仿宋" w:cs="仿宋"/>
          <w:color w:val="auto"/>
          <w:spacing w:val="-3"/>
          <w:sz w:val="24"/>
          <w:szCs w:val="24"/>
        </w:rPr>
        <w:t>上述报价不得高于本项目最高限价，若高于限价，视为无效报价</w:t>
      </w:r>
      <w:r>
        <w:rPr>
          <w:rFonts w:hint="eastAsia" w:ascii="仿宋" w:hAnsi="仿宋" w:eastAsia="仿宋" w:cs="仿宋"/>
          <w:color w:val="auto"/>
          <w:spacing w:val="-3"/>
          <w:sz w:val="24"/>
          <w:szCs w:val="24"/>
          <w:lang w:eastAsia="zh-CN"/>
        </w:rPr>
        <w:t>。</w:t>
      </w:r>
    </w:p>
    <w:p w14:paraId="2D400725">
      <w:pPr>
        <w:pStyle w:val="2"/>
        <w:jc w:val="both"/>
        <w:rPr>
          <w:rFonts w:hint="eastAsia" w:ascii="仿宋" w:hAnsi="仿宋" w:eastAsia="仿宋" w:cs="仿宋"/>
          <w:color w:val="auto"/>
          <w:spacing w:val="-3"/>
          <w:sz w:val="24"/>
          <w:szCs w:val="24"/>
          <w:lang w:eastAsia="zh-CN"/>
        </w:rPr>
      </w:pPr>
    </w:p>
    <w:p w14:paraId="4594BBD2">
      <w:pPr>
        <w:rPr>
          <w:rFonts w:hint="eastAsia" w:ascii="仿宋" w:hAnsi="仿宋" w:eastAsia="仿宋" w:cs="仿宋"/>
          <w:color w:val="auto"/>
          <w:spacing w:val="-3"/>
          <w:sz w:val="24"/>
          <w:szCs w:val="24"/>
          <w:lang w:eastAsia="zh-CN"/>
        </w:rPr>
      </w:pPr>
    </w:p>
    <w:p w14:paraId="556F0A88">
      <w:pPr>
        <w:pStyle w:val="2"/>
        <w:rPr>
          <w:rFonts w:hint="eastAsia" w:ascii="仿宋" w:hAnsi="仿宋" w:eastAsia="仿宋" w:cs="仿宋"/>
          <w:color w:val="auto"/>
          <w:spacing w:val="-3"/>
          <w:sz w:val="24"/>
          <w:szCs w:val="24"/>
          <w:lang w:eastAsia="zh-CN"/>
        </w:rPr>
      </w:pPr>
    </w:p>
    <w:p w14:paraId="0DA97B32">
      <w:pPr>
        <w:rPr>
          <w:rFonts w:hint="eastAsia" w:ascii="仿宋" w:hAnsi="仿宋" w:eastAsia="仿宋" w:cs="仿宋"/>
          <w:color w:val="auto"/>
          <w:spacing w:val="-3"/>
          <w:sz w:val="24"/>
          <w:szCs w:val="24"/>
          <w:lang w:eastAsia="zh-CN"/>
        </w:rPr>
      </w:pPr>
    </w:p>
    <w:p w14:paraId="2922D694">
      <w:pPr>
        <w:pStyle w:val="2"/>
        <w:rPr>
          <w:rFonts w:hint="eastAsia" w:ascii="仿宋" w:hAnsi="仿宋" w:eastAsia="仿宋" w:cs="仿宋"/>
          <w:color w:val="auto"/>
          <w:spacing w:val="-3"/>
          <w:sz w:val="24"/>
          <w:szCs w:val="24"/>
          <w:lang w:eastAsia="zh-CN"/>
        </w:rPr>
      </w:pPr>
    </w:p>
    <w:p w14:paraId="48F4B2C8">
      <w:pPr>
        <w:rPr>
          <w:rFonts w:hint="eastAsia" w:ascii="仿宋" w:hAnsi="仿宋" w:eastAsia="仿宋" w:cs="仿宋"/>
          <w:color w:val="auto"/>
          <w:spacing w:val="-3"/>
          <w:sz w:val="24"/>
          <w:szCs w:val="24"/>
          <w:lang w:eastAsia="zh-CN"/>
        </w:rPr>
      </w:pPr>
    </w:p>
    <w:p w14:paraId="361AC0B9">
      <w:pPr>
        <w:pStyle w:val="2"/>
        <w:rPr>
          <w:rFonts w:hint="eastAsia" w:ascii="仿宋" w:hAnsi="仿宋" w:eastAsia="仿宋" w:cs="仿宋"/>
          <w:color w:val="auto"/>
          <w:spacing w:val="-3"/>
          <w:sz w:val="24"/>
          <w:szCs w:val="24"/>
          <w:lang w:eastAsia="zh-CN"/>
        </w:rPr>
      </w:pPr>
    </w:p>
    <w:p w14:paraId="49214947">
      <w:pPr>
        <w:rPr>
          <w:rFonts w:hint="eastAsia" w:ascii="仿宋" w:hAnsi="仿宋" w:eastAsia="仿宋" w:cs="仿宋"/>
          <w:color w:val="auto"/>
          <w:spacing w:val="-3"/>
          <w:sz w:val="24"/>
          <w:szCs w:val="24"/>
          <w:lang w:eastAsia="zh-CN"/>
        </w:rPr>
      </w:pPr>
    </w:p>
    <w:p w14:paraId="49AC2791">
      <w:pPr>
        <w:pStyle w:val="2"/>
        <w:rPr>
          <w:rFonts w:hint="eastAsia" w:ascii="仿宋" w:hAnsi="仿宋" w:eastAsia="仿宋" w:cs="仿宋"/>
          <w:color w:val="auto"/>
          <w:spacing w:val="-3"/>
          <w:sz w:val="24"/>
          <w:szCs w:val="24"/>
          <w:lang w:eastAsia="zh-CN"/>
        </w:rPr>
      </w:pPr>
    </w:p>
    <w:p w14:paraId="3EBE4C1F">
      <w:pPr>
        <w:rPr>
          <w:rFonts w:hint="eastAsia" w:ascii="仿宋" w:hAnsi="仿宋" w:eastAsia="仿宋" w:cs="仿宋"/>
          <w:color w:val="auto"/>
          <w:spacing w:val="-3"/>
          <w:sz w:val="24"/>
          <w:szCs w:val="24"/>
          <w:lang w:eastAsia="zh-CN"/>
        </w:rPr>
      </w:pPr>
    </w:p>
    <w:p w14:paraId="245A48D0">
      <w:pPr>
        <w:pStyle w:val="2"/>
        <w:rPr>
          <w:rFonts w:hint="eastAsia" w:ascii="仿宋" w:hAnsi="仿宋" w:eastAsia="仿宋" w:cs="仿宋"/>
          <w:color w:val="auto"/>
          <w:spacing w:val="-3"/>
          <w:sz w:val="24"/>
          <w:szCs w:val="24"/>
          <w:lang w:eastAsia="zh-CN"/>
        </w:rPr>
      </w:pPr>
    </w:p>
    <w:p w14:paraId="312A4DAE">
      <w:pPr>
        <w:rPr>
          <w:rFonts w:hint="eastAsia" w:ascii="仿宋" w:hAnsi="仿宋" w:eastAsia="仿宋" w:cs="仿宋"/>
          <w:color w:val="auto"/>
          <w:spacing w:val="-3"/>
          <w:sz w:val="24"/>
          <w:szCs w:val="24"/>
          <w:lang w:eastAsia="zh-CN"/>
        </w:rPr>
      </w:pPr>
    </w:p>
    <w:p w14:paraId="2B88F421">
      <w:pPr>
        <w:pStyle w:val="2"/>
        <w:rPr>
          <w:rFonts w:hint="eastAsia" w:ascii="仿宋" w:hAnsi="仿宋" w:eastAsia="仿宋" w:cs="仿宋"/>
          <w:color w:val="auto"/>
          <w:spacing w:val="-3"/>
          <w:sz w:val="24"/>
          <w:szCs w:val="24"/>
          <w:lang w:eastAsia="zh-CN"/>
        </w:rPr>
      </w:pPr>
    </w:p>
    <w:p w14:paraId="01EE4B01">
      <w:pPr>
        <w:rPr>
          <w:rFonts w:hint="eastAsia" w:ascii="仿宋" w:hAnsi="仿宋" w:eastAsia="仿宋" w:cs="仿宋"/>
          <w:color w:val="auto"/>
          <w:spacing w:val="-3"/>
          <w:sz w:val="24"/>
          <w:szCs w:val="24"/>
          <w:lang w:eastAsia="zh-CN"/>
        </w:rPr>
      </w:pPr>
    </w:p>
    <w:p w14:paraId="235FDFD6">
      <w:pPr>
        <w:pStyle w:val="2"/>
        <w:rPr>
          <w:rFonts w:hint="eastAsia" w:ascii="仿宋" w:hAnsi="仿宋" w:eastAsia="仿宋" w:cs="仿宋"/>
          <w:color w:val="auto"/>
          <w:spacing w:val="-3"/>
          <w:sz w:val="24"/>
          <w:szCs w:val="24"/>
          <w:lang w:eastAsia="zh-CN"/>
        </w:rPr>
      </w:pPr>
    </w:p>
    <w:p w14:paraId="3EC10818">
      <w:pPr>
        <w:rPr>
          <w:rFonts w:hint="eastAsia" w:ascii="仿宋" w:hAnsi="仿宋" w:eastAsia="仿宋" w:cs="仿宋"/>
          <w:color w:val="auto"/>
          <w:spacing w:val="-3"/>
          <w:sz w:val="24"/>
          <w:szCs w:val="24"/>
          <w:lang w:eastAsia="zh-CN"/>
        </w:rPr>
      </w:pPr>
    </w:p>
    <w:p w14:paraId="70A3FDA6">
      <w:pPr>
        <w:pStyle w:val="2"/>
        <w:rPr>
          <w:rFonts w:hint="eastAsia" w:ascii="仿宋" w:hAnsi="仿宋" w:eastAsia="仿宋" w:cs="仿宋"/>
          <w:color w:val="auto"/>
          <w:spacing w:val="-3"/>
          <w:sz w:val="24"/>
          <w:szCs w:val="24"/>
          <w:lang w:eastAsia="zh-CN"/>
        </w:rPr>
      </w:pPr>
    </w:p>
    <w:p w14:paraId="4DC5D16C">
      <w:pPr>
        <w:rPr>
          <w:rFonts w:hint="eastAsia" w:ascii="仿宋" w:hAnsi="仿宋" w:eastAsia="仿宋" w:cs="仿宋"/>
          <w:color w:val="auto"/>
          <w:spacing w:val="-3"/>
          <w:sz w:val="24"/>
          <w:szCs w:val="24"/>
          <w:lang w:eastAsia="zh-CN"/>
        </w:rPr>
      </w:pPr>
    </w:p>
    <w:p w14:paraId="22A2167A">
      <w:pPr>
        <w:pStyle w:val="2"/>
        <w:rPr>
          <w:rFonts w:hint="eastAsia" w:ascii="仿宋" w:hAnsi="仿宋" w:eastAsia="仿宋" w:cs="仿宋"/>
          <w:color w:val="auto"/>
          <w:spacing w:val="-3"/>
          <w:sz w:val="24"/>
          <w:szCs w:val="24"/>
          <w:lang w:eastAsia="zh-CN"/>
        </w:rPr>
      </w:pPr>
    </w:p>
    <w:p w14:paraId="42425CAB">
      <w:pPr>
        <w:rPr>
          <w:rFonts w:hint="eastAsia" w:ascii="仿宋" w:hAnsi="仿宋" w:eastAsia="仿宋" w:cs="仿宋"/>
          <w:color w:val="auto"/>
          <w:spacing w:val="-3"/>
          <w:sz w:val="24"/>
          <w:szCs w:val="24"/>
          <w:lang w:eastAsia="zh-CN"/>
        </w:rPr>
      </w:pPr>
    </w:p>
    <w:p w14:paraId="4F0CD86E">
      <w:pPr>
        <w:pStyle w:val="2"/>
        <w:rPr>
          <w:rFonts w:hint="eastAsia" w:ascii="仿宋" w:hAnsi="仿宋" w:eastAsia="仿宋" w:cs="仿宋"/>
          <w:color w:val="auto"/>
          <w:spacing w:val="-3"/>
          <w:sz w:val="24"/>
          <w:szCs w:val="24"/>
          <w:lang w:eastAsia="zh-CN"/>
        </w:rPr>
      </w:pPr>
    </w:p>
    <w:p w14:paraId="0ECB67C5">
      <w:pPr>
        <w:rPr>
          <w:rFonts w:hint="eastAsia" w:ascii="仿宋" w:hAnsi="仿宋" w:eastAsia="仿宋" w:cs="仿宋"/>
          <w:color w:val="auto"/>
          <w:spacing w:val="-3"/>
          <w:sz w:val="24"/>
          <w:szCs w:val="24"/>
          <w:lang w:eastAsia="zh-CN"/>
        </w:rPr>
      </w:pPr>
    </w:p>
    <w:p w14:paraId="60B1CBC8">
      <w:pPr>
        <w:pStyle w:val="2"/>
        <w:rPr>
          <w:rFonts w:hint="eastAsia" w:ascii="仿宋" w:hAnsi="仿宋" w:eastAsia="仿宋" w:cs="仿宋"/>
          <w:color w:val="auto"/>
          <w:spacing w:val="-3"/>
          <w:sz w:val="24"/>
          <w:szCs w:val="24"/>
          <w:lang w:eastAsia="zh-CN"/>
        </w:rPr>
      </w:pPr>
    </w:p>
    <w:p w14:paraId="6483EEB6">
      <w:pPr>
        <w:spacing w:before="78" w:line="222" w:lineRule="auto"/>
        <w:jc w:val="left"/>
        <w:rPr>
          <w:rFonts w:hint="eastAsia" w:ascii="仿宋" w:hAnsi="仿宋" w:eastAsia="仿宋" w:cs="仿宋"/>
          <w:b/>
          <w:bCs/>
          <w:color w:val="auto"/>
          <w:spacing w:val="-4"/>
          <w:sz w:val="28"/>
          <w:szCs w:val="28"/>
        </w:rPr>
      </w:pPr>
      <w:r>
        <w:rPr>
          <w:rFonts w:hint="eastAsia" w:ascii="仿宋" w:hAnsi="仿宋" w:eastAsia="仿宋" w:cs="仿宋"/>
          <w:b/>
          <w:bCs/>
          <w:color w:val="auto"/>
          <w:spacing w:val="-4"/>
          <w:sz w:val="28"/>
          <w:szCs w:val="28"/>
        </w:rPr>
        <w:t>（</w:t>
      </w:r>
      <w:r>
        <w:rPr>
          <w:rFonts w:hint="eastAsia" w:ascii="仿宋" w:hAnsi="仿宋" w:eastAsia="仿宋" w:cs="仿宋"/>
          <w:b/>
          <w:bCs/>
          <w:color w:val="auto"/>
          <w:spacing w:val="-4"/>
          <w:sz w:val="28"/>
          <w:szCs w:val="28"/>
          <w:lang w:val="en-US" w:eastAsia="zh-CN"/>
        </w:rPr>
        <w:t>二</w:t>
      </w:r>
      <w:r>
        <w:rPr>
          <w:rFonts w:hint="eastAsia" w:ascii="仿宋" w:hAnsi="仿宋" w:eastAsia="仿宋" w:cs="仿宋"/>
          <w:b/>
          <w:bCs/>
          <w:color w:val="auto"/>
          <w:spacing w:val="-4"/>
          <w:sz w:val="28"/>
          <w:szCs w:val="28"/>
        </w:rPr>
        <w:t>）方案书</w:t>
      </w:r>
    </w:p>
    <w:p w14:paraId="7D44FB8B">
      <w:pPr>
        <w:rPr>
          <w:rFonts w:hint="eastAsia" w:ascii="仿宋" w:hAnsi="仿宋" w:eastAsia="仿宋" w:cs="仿宋"/>
          <w:color w:val="auto"/>
          <w:spacing w:val="-3"/>
          <w:sz w:val="24"/>
          <w:szCs w:val="24"/>
          <w:lang w:eastAsia="zh-CN"/>
        </w:rPr>
      </w:pPr>
    </w:p>
    <w:p w14:paraId="23F70864">
      <w:pPr>
        <w:pStyle w:val="2"/>
        <w:jc w:val="both"/>
      </w:pPr>
    </w:p>
    <w:sectPr>
      <w:footerReference r:id="rId14" w:type="default"/>
      <w:pgSz w:w="11906" w:h="16838"/>
      <w:pgMar w:top="1701" w:right="1474" w:bottom="1417" w:left="1474"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7AA8D">
    <w:pPr>
      <w:pStyle w:val="4"/>
      <w:spacing w:line="219" w:lineRule="auto"/>
      <w:ind w:left="3245"/>
    </w:pPr>
    <w:r>
      <w:rPr>
        <w:b/>
        <w:bCs/>
        <w:spacing w:val="-13"/>
      </w:rPr>
      <w:t>2</w:t>
    </w:r>
    <w:r>
      <w:rPr>
        <w:spacing w:val="-99"/>
      </w:rPr>
      <w:t xml:space="preserve"> </w:t>
    </w:r>
    <w:r>
      <w:rPr>
        <w:b/>
        <w:bCs/>
        <w:spacing w:val="-13"/>
      </w:rPr>
      <w:t>0</w:t>
    </w:r>
    <w:r>
      <w:rPr>
        <w:spacing w:val="-94"/>
      </w:rPr>
      <w:t xml:space="preserve"> </w:t>
    </w:r>
    <w:r>
      <w:rPr>
        <w:b/>
        <w:bCs/>
        <w:spacing w:val="-13"/>
      </w:rPr>
      <w:t>2</w:t>
    </w:r>
    <w:r>
      <w:rPr>
        <w:spacing w:val="-103"/>
      </w:rPr>
      <w:t xml:space="preserve"> </w:t>
    </w:r>
    <w:r>
      <w:rPr>
        <w:b/>
        <w:bCs/>
        <w:spacing w:val="-13"/>
      </w:rPr>
      <w:t>4</w:t>
    </w:r>
    <w:r>
      <w:rPr>
        <w:spacing w:val="28"/>
      </w:rPr>
      <w:t xml:space="preserve"> </w:t>
    </w:r>
    <w:r>
      <w:rPr>
        <w:b/>
        <w:bCs/>
        <w:spacing w:val="-13"/>
      </w:rPr>
      <w:t>年</w:t>
    </w:r>
    <w:r>
      <w:rPr>
        <w:spacing w:val="81"/>
      </w:rPr>
      <w:t xml:space="preserve"> </w:t>
    </w:r>
    <w:r>
      <w:rPr>
        <w:rFonts w:hint="eastAsia"/>
        <w:b/>
        <w:bCs/>
        <w:spacing w:val="-13"/>
        <w:lang w:val="en-US" w:eastAsia="zh-CN"/>
      </w:rPr>
      <w:t>9</w:t>
    </w:r>
    <w:r>
      <w:rPr>
        <w:spacing w:val="30"/>
      </w:rPr>
      <w:t xml:space="preserve"> </w:t>
    </w:r>
    <w:r>
      <w:rPr>
        <w:b/>
        <w:bCs/>
        <w:spacing w:val="-13"/>
      </w:rPr>
      <w:t>月</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6BA90">
    <w:pPr>
      <w:pStyle w:val="4"/>
      <w:spacing w:line="209" w:lineRule="auto"/>
      <w:ind w:left="4000"/>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D5026A">
                          <w:pPr>
                            <w:pStyle w:val="6"/>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CD5026A">
                    <w:pPr>
                      <w:pStyle w:val="6"/>
                    </w:pPr>
                    <w:r>
                      <w:t xml:space="preserve">第 </w:t>
                    </w:r>
                    <w:r>
                      <w:fldChar w:fldCharType="begin"/>
                    </w:r>
                    <w:r>
                      <w:instrText xml:space="preserve"> PAGE  \* MERGEFORMAT </w:instrText>
                    </w:r>
                    <w:r>
                      <w:fldChar w:fldCharType="separate"/>
                    </w:r>
                    <w:r>
                      <w:t>19</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38C1D">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3145D">
    <w:pPr>
      <w:pStyle w:val="4"/>
      <w:spacing w:line="209" w:lineRule="auto"/>
      <w:ind w:left="4045"/>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D5591E">
                          <w:pPr>
                            <w:pStyle w:val="6"/>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ED5591E">
                    <w:pPr>
                      <w:pStyle w:val="6"/>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DB6BE">
    <w:pPr>
      <w:pStyle w:val="4"/>
      <w:spacing w:line="209" w:lineRule="auto"/>
      <w:ind w:left="4045"/>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3E558A">
                          <w:pPr>
                            <w:pStyle w:val="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43E558A">
                    <w:pPr>
                      <w:pStyle w:val="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8A1DE">
    <w:pPr>
      <w:pStyle w:val="4"/>
      <w:spacing w:line="209" w:lineRule="auto"/>
      <w:ind w:left="3893"/>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AD476B">
                          <w:pPr>
                            <w:pStyle w:val="6"/>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1AD476B">
                    <w:pPr>
                      <w:pStyle w:val="6"/>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E0943">
    <w:pPr>
      <w:pStyle w:val="4"/>
      <w:spacing w:line="209" w:lineRule="auto"/>
      <w:ind w:left="3888"/>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137A3E">
                          <w:pPr>
                            <w:pStyle w:val="6"/>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A137A3E">
                    <w:pPr>
                      <w:pStyle w:val="6"/>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7170D">
    <w:pPr>
      <w:spacing w:line="14" w:lineRule="auto"/>
      <w:rPr>
        <w:rFonts w:ascii="Arial"/>
        <w:sz w:val="2"/>
      </w:rPr>
    </w:pPr>
    <w:r>
      <w:rPr>
        <w:sz w:val="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E910AF">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7E910AF">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C758E">
    <w:pPr>
      <w:pStyle w:val="4"/>
      <w:spacing w:line="209" w:lineRule="auto"/>
      <w:ind w:left="3888"/>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329821">
                          <w:pPr>
                            <w:pStyle w:val="6"/>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C329821">
                    <w:pPr>
                      <w:pStyle w:val="6"/>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C3AA6">
    <w:pPr>
      <w:pStyle w:val="4"/>
      <w:spacing w:line="209" w:lineRule="auto"/>
      <w:ind w:left="3876"/>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46B582">
                          <w:pPr>
                            <w:pStyle w:val="6"/>
                          </w:pPr>
                          <w:r>
                            <w:t xml:space="preserve">第 </w:t>
                          </w:r>
                          <w:r>
                            <w:fldChar w:fldCharType="begin"/>
                          </w:r>
                          <w:r>
                            <w:instrText xml:space="preserve"> PAGE  \* MERGEFORMAT </w:instrText>
                          </w:r>
                          <w:r>
                            <w:fldChar w:fldCharType="separate"/>
                          </w:r>
                          <w:r>
                            <w:t>17</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246B582">
                    <w:pPr>
                      <w:pStyle w:val="6"/>
                    </w:pPr>
                    <w:r>
                      <w:t xml:space="preserve">第 </w:t>
                    </w:r>
                    <w:r>
                      <w:fldChar w:fldCharType="begin"/>
                    </w:r>
                    <w:r>
                      <w:instrText xml:space="preserve"> PAGE  \* MERGEFORMAT </w:instrText>
                    </w:r>
                    <w:r>
                      <w:fldChar w:fldCharType="separate"/>
                    </w:r>
                    <w:r>
                      <w:t>17</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chineseCounting"/>
      <w:suff w:val="nothing"/>
      <w:lvlText w:val="%1、"/>
      <w:lvlJc w:val="left"/>
      <w:rPr>
        <w:rFonts w:hint="eastAsia"/>
      </w:rPr>
    </w:lvl>
  </w:abstractNum>
  <w:abstractNum w:abstractNumId="1">
    <w:nsid w:val="00000009"/>
    <w:multiLevelType w:val="singleLevel"/>
    <w:tmpl w:val="00000009"/>
    <w:lvl w:ilvl="0" w:tentative="0">
      <w:start w:val="1"/>
      <w:numFmt w:val="upperLetter"/>
      <w:pStyle w:val="3"/>
      <w:lvlText w:val="%1."/>
      <w:lvlJc w:val="left"/>
      <w:pPr>
        <w:tabs>
          <w:tab w:val="left" w:pos="425"/>
        </w:tabs>
        <w:ind w:left="425" w:hanging="425"/>
      </w:pPr>
    </w:lvl>
  </w:abstractNum>
  <w:abstractNum w:abstractNumId="2">
    <w:nsid w:val="00000010"/>
    <w:multiLevelType w:val="singleLevel"/>
    <w:tmpl w:val="00000010"/>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hMzkxZjhhMjE2NjFlNGU2Njk3NWRjYmM2YWMyMGEifQ=="/>
  </w:docVars>
  <w:rsids>
    <w:rsidRoot w:val="00000000"/>
    <w:rsid w:val="002F1916"/>
    <w:rsid w:val="00B00BD6"/>
    <w:rsid w:val="03617B21"/>
    <w:rsid w:val="06284598"/>
    <w:rsid w:val="0960550C"/>
    <w:rsid w:val="0B0330BF"/>
    <w:rsid w:val="14405963"/>
    <w:rsid w:val="17D53E03"/>
    <w:rsid w:val="17EA4F32"/>
    <w:rsid w:val="1B111374"/>
    <w:rsid w:val="1D477433"/>
    <w:rsid w:val="1F5B0159"/>
    <w:rsid w:val="20E75B0B"/>
    <w:rsid w:val="29925FC3"/>
    <w:rsid w:val="2CB66A62"/>
    <w:rsid w:val="2CDB64D3"/>
    <w:rsid w:val="2DC22D23"/>
    <w:rsid w:val="2F0A598B"/>
    <w:rsid w:val="30C916BD"/>
    <w:rsid w:val="374B61CE"/>
    <w:rsid w:val="3B094CBA"/>
    <w:rsid w:val="3CF078F1"/>
    <w:rsid w:val="3D637AE3"/>
    <w:rsid w:val="4024344E"/>
    <w:rsid w:val="42D635FE"/>
    <w:rsid w:val="4A812BF5"/>
    <w:rsid w:val="4EC210D8"/>
    <w:rsid w:val="50E82697"/>
    <w:rsid w:val="51D02DBD"/>
    <w:rsid w:val="582B1AEA"/>
    <w:rsid w:val="5FE95A04"/>
    <w:rsid w:val="6F844859"/>
    <w:rsid w:val="71BC2ED4"/>
    <w:rsid w:val="7224402C"/>
    <w:rsid w:val="765C0CF8"/>
    <w:rsid w:val="77FC2755"/>
    <w:rsid w:val="7D452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4"/>
    <w:basedOn w:val="1"/>
    <w:next w:val="1"/>
    <w:qFormat/>
    <w:uiPriority w:val="0"/>
    <w:pPr>
      <w:keepNext/>
      <w:numPr>
        <w:ilvl w:val="0"/>
        <w:numId w:val="1"/>
      </w:numPr>
      <w:ind w:firstLine="415"/>
      <w:jc w:val="left"/>
      <w:outlineLvl w:val="3"/>
    </w:pPr>
    <w:rPr>
      <w:rFonts w:ascii="宋体" w:hAnsi="宋体"/>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Arial" w:hAnsi="Arial"/>
      <w:b/>
      <w:bCs/>
      <w:sz w:val="32"/>
      <w:szCs w:val="32"/>
    </w:rPr>
  </w:style>
  <w:style w:type="paragraph" w:styleId="4">
    <w:name w:val="Body Text"/>
    <w:basedOn w:val="1"/>
    <w:next w:val="1"/>
    <w:semiHidden/>
    <w:qFormat/>
    <w:uiPriority w:val="0"/>
    <w:rPr>
      <w:rFonts w:ascii="宋体" w:hAnsi="宋体" w:eastAsia="宋体" w:cs="宋体"/>
      <w:sz w:val="35"/>
      <w:szCs w:val="35"/>
      <w:lang w:val="en-US" w:eastAsia="en-US" w:bidi="ar-SA"/>
    </w:rPr>
  </w:style>
  <w:style w:type="paragraph" w:styleId="5">
    <w:name w:val="Plain Text"/>
    <w:basedOn w:val="1"/>
    <w:qFormat/>
    <w:uiPriority w:val="0"/>
    <w:rPr>
      <w:rFonts w:ascii="宋体" w:hAnsi="Courier New" w:eastAsia="宋体" w:cs="Tahoma"/>
      <w:kern w:val="2"/>
      <w:sz w:val="21"/>
      <w:szCs w:val="21"/>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2">
    <w:name w:val="Table Text"/>
    <w:basedOn w:val="1"/>
    <w:semiHidden/>
    <w:qFormat/>
    <w:uiPriority w:val="0"/>
    <w:rPr>
      <w:rFonts w:ascii="仿宋" w:hAnsi="仿宋" w:eastAsia="仿宋" w:cs="仿宋"/>
      <w:sz w:val="28"/>
      <w:szCs w:val="28"/>
      <w:lang w:val="en-US" w:eastAsia="en-US" w:bidi="ar-SA"/>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Fließtext"/>
    <w:basedOn w:val="1"/>
    <w:qFormat/>
    <w:uiPriority w:val="0"/>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7674</Words>
  <Characters>7907</Characters>
  <Lines>0</Lines>
  <Paragraphs>0</Paragraphs>
  <TotalTime>3</TotalTime>
  <ScaleCrop>false</ScaleCrop>
  <LinksUpToDate>false</LinksUpToDate>
  <CharactersWithSpaces>8294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2024-08-14T07:51:00Z</dcterms:created>
  <dc:creator>Administrator</dc:creator>
  <cp:lastModifiedBy>罗灿</cp:lastModifiedBy>
  <cp:lastPrinted>2024-08-16T03:41:00Z</cp:lastPrinted>
  <dcterms:modified xsi:type="dcterms:W3CDTF">2024-08-29T08:43:42Z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0721A26C765446358601DCA8A0CEB171_12</vt:lpwstr>
  </property>
</Properties>
</file>