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center"/>
        <w:rPr>
          <w:rFonts w:hint="eastAsia" w:ascii="仿宋" w:hAnsi="仿宋" w:eastAsia="仿宋" w:cs="仿宋"/>
          <w:b/>
          <w:bCs/>
          <w:i w:val="0"/>
          <w:iCs w:val="0"/>
          <w:caps w:val="0"/>
          <w:color w:val="333333"/>
          <w:spacing w:val="0"/>
          <w:sz w:val="36"/>
          <w:szCs w:val="36"/>
          <w:shd w:val="clear" w:fill="FFFFFF"/>
        </w:rPr>
      </w:pPr>
      <w:r>
        <w:rPr>
          <w:rFonts w:hint="eastAsia" w:ascii="仿宋" w:hAnsi="仿宋" w:eastAsia="仿宋" w:cs="仿宋"/>
          <w:b/>
          <w:bCs/>
          <w:i w:val="0"/>
          <w:iCs w:val="0"/>
          <w:caps w:val="0"/>
          <w:color w:val="333333"/>
          <w:spacing w:val="0"/>
          <w:sz w:val="36"/>
          <w:szCs w:val="36"/>
          <w:shd w:val="clear" w:fill="FFFFFF"/>
        </w:rPr>
        <w:t>福建中医药大学附属第三人民医院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center"/>
        <w:rPr>
          <w:rFonts w:hint="eastAsia" w:ascii="仿宋" w:hAnsi="仿宋" w:eastAsia="仿宋" w:cs="仿宋"/>
          <w:b/>
          <w:bCs/>
          <w:i w:val="0"/>
          <w:iCs w:val="0"/>
          <w:caps w:val="0"/>
          <w:color w:val="333333"/>
          <w:spacing w:val="0"/>
          <w:kern w:val="0"/>
          <w:sz w:val="36"/>
          <w:szCs w:val="36"/>
          <w:bdr w:val="none" w:color="auto" w:sz="0" w:space="0"/>
          <w:shd w:val="clear" w:fill="FFFFFF"/>
          <w:lang w:val="en-US" w:eastAsia="zh-CN" w:bidi="ar"/>
        </w:rPr>
      </w:pPr>
      <w:r>
        <w:rPr>
          <w:rStyle w:val="14"/>
          <w:rFonts w:hint="eastAsia" w:ascii="仿宋" w:hAnsi="仿宋" w:eastAsia="仿宋" w:cs="仿宋"/>
          <w:b/>
          <w:bCs/>
          <w:sz w:val="36"/>
          <w:szCs w:val="36"/>
        </w:rPr>
        <w:t>短信通知服务</w:t>
      </w:r>
      <w:r>
        <w:rPr>
          <w:rFonts w:hint="eastAsia" w:ascii="仿宋" w:hAnsi="仿宋" w:eastAsia="仿宋" w:cs="仿宋"/>
          <w:b/>
          <w:bCs/>
          <w:i w:val="0"/>
          <w:iCs w:val="0"/>
          <w:caps w:val="0"/>
          <w:color w:val="333333"/>
          <w:spacing w:val="0"/>
          <w:sz w:val="36"/>
          <w:szCs w:val="36"/>
          <w:shd w:val="clear" w:fill="FFFFFF"/>
        </w:rPr>
        <w:t>项目市场调研公告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1"/>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随着医院的发展，现就我院</w:t>
      </w:r>
      <w:r>
        <w:rPr>
          <w:rStyle w:val="14"/>
          <w:rFonts w:hint="eastAsia" w:ascii="仿宋" w:hAnsi="仿宋" w:eastAsia="仿宋" w:cs="仿宋"/>
          <w:b w:val="0"/>
          <w:bCs/>
          <w:sz w:val="32"/>
          <w:szCs w:val="32"/>
        </w:rPr>
        <w:t>短信通知服务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开展市场调研，了解本次项目方案整体价格情况，欢迎国内具有生产或销售相关产品的公司与我院联系，并办理报名手续。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现将市场调研事宜公告如下：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一、调研内容</w:t>
      </w:r>
    </w:p>
    <w:tbl>
      <w:tblPr>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4"/>
        <w:gridCol w:w="1962"/>
        <w:gridCol w:w="1154"/>
        <w:gridCol w:w="1303"/>
        <w:gridCol w:w="38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合同包</w:t>
            </w:r>
          </w:p>
        </w:tc>
        <w:tc>
          <w:tcPr>
            <w:tcW w:w="196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服务内容</w:t>
            </w:r>
          </w:p>
        </w:tc>
        <w:tc>
          <w:tcPr>
            <w:tcW w:w="115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数量</w:t>
            </w:r>
          </w:p>
        </w:tc>
        <w:tc>
          <w:tcPr>
            <w:tcW w:w="130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单位</w:t>
            </w:r>
          </w:p>
        </w:tc>
        <w:tc>
          <w:tcPr>
            <w:tcW w:w="388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服务内容及要求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1</w:t>
            </w:r>
          </w:p>
        </w:tc>
        <w:tc>
          <w:tcPr>
            <w:tcW w:w="19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Style w:val="14"/>
                <w:rFonts w:hint="eastAsia" w:ascii="仿宋" w:hAnsi="仿宋" w:eastAsia="仿宋" w:cs="仿宋"/>
                <w:b w:val="0"/>
                <w:bCs/>
                <w:sz w:val="32"/>
                <w:szCs w:val="32"/>
              </w:rPr>
              <w:t>短信通知服务</w:t>
            </w:r>
          </w:p>
        </w:tc>
        <w:tc>
          <w:tcPr>
            <w:tcW w:w="11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1</w:t>
            </w:r>
          </w:p>
        </w:tc>
        <w:tc>
          <w:tcPr>
            <w:tcW w:w="130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项</w:t>
            </w:r>
          </w:p>
        </w:tc>
        <w:tc>
          <w:tcPr>
            <w:tcW w:w="38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见附件一。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、资质要求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1.具有合格有效的营业执照。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2.近三年经营活动中没有违法记录。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3.本项目不接受联合体报价，不允许转包、分包。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三、调研内容及功能要求</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见附件一</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四、市场调研材料要求（包含但不限于）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1.有效期内营业执照复印件（三证合一）；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2.委托代理人及法定代表人的有效身份证明复印件；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3.法定代表人授权委托书原件(委托代理人是法定代表人的无需提供)；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4.三年内无违法记录书面声明；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5.方案书（</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包含报价单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6.服务承诺书。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注：</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根据附件一功能要求进行逐一偏离情况响应以及第五部分方案书调研内容逐一陈述，市场调研材料其他部分格式按附件二格式要求，将以上材料装订好后用信封密封，</w:t>
      </w:r>
      <w:r>
        <w:rPr>
          <w:rFonts w:hint="eastAsia" w:ascii="仿宋" w:hAnsi="仿宋" w:eastAsia="仿宋" w:cs="仿宋"/>
          <w:b w:val="0"/>
          <w:bCs w:val="0"/>
          <w:i w:val="0"/>
          <w:iCs w:val="0"/>
          <w:caps w:val="0"/>
          <w:color w:val="333333"/>
          <w:spacing w:val="0"/>
          <w:kern w:val="0"/>
          <w:sz w:val="32"/>
          <w:szCs w:val="32"/>
          <w:u w:val="single"/>
          <w:bdr w:val="none" w:color="auto" w:sz="0" w:space="0"/>
          <w:shd w:val="clear" w:fill="FFFFFF"/>
          <w:lang w:val="en-US" w:eastAsia="zh-CN" w:bidi="ar"/>
        </w:rPr>
        <w:t>每页需加盖公章</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五、获取市场调研文件时间、方式，调研会时间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1.报名时间：2024年</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08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19</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日至2024年</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08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26</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日，每天上午8:00至 12:00 ，下午 14:30 至 17:30（北京时间）。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2.报名方式：现场报名或电话报名并将报名信息扫描发送至邮箱3150577315@qq.com（电话报名的现场调研当天带上纸质提交）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3.报名截止时间：2024年08月26日17:30。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4.报名所需材料：有效期内营业执照复印件（三证合一）、法定代表人授权委托书原件(委托代理人是法定代表人的无需提供)、委托代理人及法定代表人的有效身份证明复印件，以上材料均需加盖公章。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5.市场调研材料提交时间及地点：2024年</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08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27</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日10:00，闽侯县上街镇国宾大道363号福建中医药大学附属第三人民医院4层会议室。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6.现场市场调研会时间：2024年</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08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eastAsia" w:ascii="仿宋" w:hAnsi="仿宋" w:eastAsia="仿宋" w:cs="仿宋"/>
          <w:i w:val="0"/>
          <w:iCs w:val="0"/>
          <w:caps w:val="0"/>
          <w:color w:val="333333"/>
          <w:spacing w:val="0"/>
          <w:kern w:val="0"/>
          <w:sz w:val="32"/>
          <w:szCs w:val="32"/>
          <w:u w:val="single"/>
          <w:bdr w:val="none" w:color="auto" w:sz="0" w:space="0"/>
          <w:shd w:val="clear" w:fill="FFFFFF"/>
          <w:lang w:val="en-US" w:eastAsia="zh-CN" w:bidi="ar"/>
        </w:rPr>
        <w:t>27</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日10:00。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7.项目联系人：权工，联系电话0591-62099369。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六、有关本次市场调研的相关信息，在我院网站上通知，请随时关注我院网站</w:t>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instrText xml:space="preserve"> HYPERLINK "http://www.fjsdsrmyy.com/" </w:instrText>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fldChar w:fldCharType="separate"/>
      </w:r>
      <w:r>
        <w:rPr>
          <w:rStyle w:val="15"/>
          <w:rFonts w:hint="eastAsia" w:ascii="仿宋" w:hAnsi="仿宋" w:eastAsia="仿宋" w:cs="仿宋"/>
          <w:b w:val="0"/>
          <w:bCs w:val="0"/>
          <w:i w:val="0"/>
          <w:iCs w:val="0"/>
          <w:caps w:val="0"/>
          <w:color w:val="333333"/>
          <w:spacing w:val="0"/>
          <w:sz w:val="32"/>
          <w:szCs w:val="32"/>
          <w:u w:val="none"/>
          <w:bdr w:val="none" w:color="auto" w:sz="0" w:space="0"/>
          <w:shd w:val="clear" w:fill="FFFFFF"/>
        </w:rPr>
        <w:t>www.fjsdsrmyy.com</w:t>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以免错漏重要信息。相关公司若自己没有在以上网站上查询相关更改通知和答疑纪要等信息而影响本次市场调研的，自行承担相关责任。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right"/>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福建中医药大学附属第三人民医院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xml:space="preserve">                                    2024年8月19日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pStyle w:val="2"/>
        <w:rPr>
          <w:rFonts w:hint="eastAsia" w:ascii="仿宋" w:hAnsi="仿宋" w:eastAsia="仿宋" w:cs="仿宋"/>
          <w:sz w:val="32"/>
          <w:szCs w:val="32"/>
          <w:shd w:val="clear" w:color="auto" w:fill="FFFFFF"/>
        </w:rPr>
      </w:pPr>
    </w:p>
    <w:p>
      <w:pPr>
        <w:spacing w:line="40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附件一</w:t>
      </w:r>
    </w:p>
    <w:p>
      <w:pPr>
        <w:numPr>
          <w:ilvl w:val="0"/>
          <w:numId w:val="0"/>
        </w:numPr>
        <w:tabs>
          <w:tab w:val="left" w:pos="900"/>
          <w:tab w:val="left" w:pos="1080"/>
        </w:tabs>
        <w:spacing w:line="440" w:lineRule="exact"/>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供应商资格要求：</w:t>
      </w:r>
    </w:p>
    <w:p>
      <w:pPr>
        <w:numPr>
          <w:ilvl w:val="0"/>
          <w:numId w:val="2"/>
        </w:numPr>
        <w:tabs>
          <w:tab w:val="left" w:pos="900"/>
          <w:tab w:val="left" w:pos="1080"/>
        </w:tabs>
        <w:spacing w:line="440" w:lineRule="exact"/>
        <w:ind w:left="320" w:leftChars="0" w:firstLine="360" w:firstLineChars="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投标方必须是根据国家相关法律法规合法成立的企业法人，具有固定的经营场所，具有从事本项目的经营范围和能力</w:t>
      </w:r>
      <w:r>
        <w:rPr>
          <w:rFonts w:hint="eastAsia" w:ascii="仿宋" w:hAnsi="仿宋" w:eastAsia="仿宋" w:cs="仿宋"/>
          <w:color w:val="000000"/>
          <w:sz w:val="32"/>
          <w:szCs w:val="32"/>
          <w:highlight w:val="none"/>
          <w:lang w:eastAsia="zh-CN"/>
        </w:rPr>
        <w:t>。</w:t>
      </w:r>
    </w:p>
    <w:p>
      <w:pPr>
        <w:numPr>
          <w:ilvl w:val="0"/>
          <w:numId w:val="2"/>
        </w:numPr>
        <w:tabs>
          <w:tab w:val="left" w:pos="900"/>
          <w:tab w:val="left" w:pos="1080"/>
        </w:tabs>
        <w:spacing w:line="440" w:lineRule="exact"/>
        <w:ind w:left="320" w:leftChars="0" w:firstLine="360" w:firstLineChars="0"/>
        <w:rPr>
          <w:rFonts w:hint="eastAsia" w:ascii="仿宋" w:hAnsi="仿宋" w:eastAsia="仿宋" w:cs="仿宋"/>
          <w:color w:val="000000"/>
          <w:sz w:val="32"/>
          <w:szCs w:val="32"/>
          <w:highlight w:val="none"/>
          <w:lang w:val="en-US" w:eastAsia="zh-CN"/>
        </w:rPr>
      </w:pPr>
      <w:r>
        <w:rPr>
          <w:rFonts w:hint="eastAsia" w:ascii="仿宋" w:hAnsi="仿宋" w:eastAsia="仿宋" w:cs="仿宋"/>
          <w:kern w:val="0"/>
          <w:sz w:val="32"/>
          <w:szCs w:val="32"/>
          <w:lang w:val="en-US" w:eastAsia="zh-CN" w:bidi="ar-SA"/>
        </w:rPr>
        <w:t>供应商具备</w:t>
      </w:r>
      <w:r>
        <w:rPr>
          <w:rFonts w:hint="eastAsia" w:ascii="仿宋" w:hAnsi="仿宋" w:eastAsia="仿宋" w:cs="仿宋"/>
          <w:color w:val="000000" w:themeColor="text1"/>
          <w:kern w:val="0"/>
          <w:sz w:val="32"/>
          <w:szCs w:val="32"/>
          <w:lang w:val="en-US" w:eastAsia="zh-CN" w:bidi="ar-SA"/>
          <w14:textFill>
            <w14:solidFill>
              <w14:schemeClr w14:val="tx1"/>
            </w14:solidFill>
          </w14:textFill>
        </w:rPr>
        <w:t>福州本地服务团队</w:t>
      </w:r>
      <w:r>
        <w:rPr>
          <w:rFonts w:hint="eastAsia" w:ascii="仿宋" w:hAnsi="仿宋" w:eastAsia="仿宋" w:cs="仿宋"/>
          <w:kern w:val="0"/>
          <w:sz w:val="32"/>
          <w:szCs w:val="32"/>
          <w:lang w:val="en-US" w:eastAsia="zh-CN" w:bidi="ar-SA"/>
        </w:rPr>
        <w:t>，需到现场做平台部署，团队人数至少 3 个人，并提供近半年任意一月的福州本地社保证明，当院方平台出现故障或需求，要求供应商在2小时内到达现场。</w:t>
      </w:r>
    </w:p>
    <w:p>
      <w:pPr>
        <w:numPr>
          <w:ilvl w:val="0"/>
          <w:numId w:val="2"/>
        </w:numPr>
        <w:tabs>
          <w:tab w:val="left" w:pos="900"/>
          <w:tab w:val="left" w:pos="1080"/>
        </w:tabs>
        <w:spacing w:line="440" w:lineRule="exact"/>
        <w:ind w:left="320" w:leftChars="0" w:firstLine="360" w:firstLineChars="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供应商具备5G消息资质，支持5G消息发送业务及码号申请，须提供演示视频佐证5G消息发送业务，支持院方提供素材后的5G消息制作和发送。</w:t>
      </w:r>
    </w:p>
    <w:p>
      <w:pPr>
        <w:numPr>
          <w:ilvl w:val="0"/>
          <w:numId w:val="0"/>
        </w:numPr>
        <w:tabs>
          <w:tab w:val="left" w:pos="900"/>
          <w:tab w:val="left" w:pos="1080"/>
        </w:tabs>
        <w:spacing w:line="440" w:lineRule="exact"/>
        <w:rPr>
          <w:rFonts w:hint="eastAsia" w:ascii="仿宋" w:hAnsi="仿宋" w:eastAsia="仿宋" w:cs="仿宋"/>
          <w:color w:val="000000"/>
          <w:sz w:val="32"/>
          <w:szCs w:val="32"/>
          <w:highlight w:val="none"/>
          <w:lang w:val="en-US" w:eastAsia="zh-CN"/>
        </w:rPr>
      </w:pPr>
    </w:p>
    <w:p>
      <w:pPr>
        <w:spacing w:line="360" w:lineRule="auto"/>
        <w:outlineLvl w:val="1"/>
        <w:rPr>
          <w:rFonts w:hint="eastAsia" w:ascii="仿宋" w:hAnsi="仿宋" w:eastAsia="仿宋" w:cs="仿宋"/>
          <w:sz w:val="32"/>
          <w:szCs w:val="32"/>
          <w:lang w:eastAsia="zh-CN"/>
        </w:rPr>
      </w:pPr>
      <w:r>
        <w:rPr>
          <w:rFonts w:hint="eastAsia" w:ascii="仿宋" w:hAnsi="仿宋" w:eastAsia="仿宋" w:cs="仿宋"/>
          <w:b/>
          <w:bCs/>
          <w:sz w:val="32"/>
          <w:szCs w:val="32"/>
        </w:rPr>
        <w:t>技术和服务要求</w:t>
      </w:r>
      <w:r>
        <w:rPr>
          <w:rStyle w:val="14"/>
          <w:rFonts w:hint="eastAsia" w:ascii="仿宋" w:hAnsi="仿宋" w:eastAsia="仿宋" w:cs="仿宋"/>
          <w:bCs/>
          <w:sz w:val="32"/>
          <w:szCs w:val="32"/>
          <w:lang w:eastAsia="zh-CN"/>
        </w:rPr>
        <w:t>：</w:t>
      </w:r>
    </w:p>
    <w:p>
      <w:pPr>
        <w:pStyle w:val="11"/>
        <w:spacing w:line="360" w:lineRule="auto"/>
        <w:jc w:val="both"/>
        <w:rPr>
          <w:rFonts w:hint="eastAsia" w:ascii="仿宋" w:hAnsi="仿宋" w:eastAsia="仿宋" w:cs="仿宋"/>
          <w:b/>
          <w:bCs w:val="0"/>
          <w:sz w:val="32"/>
          <w:szCs w:val="32"/>
        </w:rPr>
      </w:pPr>
      <w:r>
        <w:rPr>
          <w:rStyle w:val="14"/>
          <w:rFonts w:hint="eastAsia" w:ascii="仿宋" w:hAnsi="仿宋" w:eastAsia="仿宋" w:cs="仿宋"/>
          <w:b/>
          <w:bCs w:val="0"/>
          <w:sz w:val="32"/>
          <w:szCs w:val="32"/>
        </w:rPr>
        <w:t>（一）短信通知服务需求</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1.1 供应商需提供三网短信发送平台与采购人院内系统无缝对接，</w:t>
      </w:r>
      <w:r>
        <w:rPr>
          <w:rStyle w:val="14"/>
          <w:rFonts w:hint="eastAsia" w:ascii="仿宋" w:hAnsi="仿宋" w:eastAsia="仿宋" w:cs="仿宋"/>
          <w:b w:val="0"/>
          <w:bCs/>
          <w:sz w:val="32"/>
          <w:szCs w:val="32"/>
        </w:rPr>
        <w:t>不增加额外的项目对接费用。</w:t>
      </w:r>
      <w:r>
        <w:rPr>
          <w:rFonts w:hint="eastAsia" w:ascii="仿宋" w:hAnsi="仿宋" w:eastAsia="仿宋" w:cs="仿宋"/>
          <w:bCs/>
          <w:sz w:val="32"/>
          <w:szCs w:val="32"/>
        </w:rPr>
        <w:t>实现通知短信通过三网平台发送到电信、联通、移动手机号码；</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1.2</w:t>
      </w:r>
      <w:r>
        <w:rPr>
          <w:rStyle w:val="14"/>
          <w:rFonts w:hint="eastAsia" w:ascii="仿宋" w:hAnsi="仿宋" w:eastAsia="仿宋" w:cs="仿宋"/>
          <w:b w:val="0"/>
          <w:bCs/>
          <w:color w:val="000000"/>
          <w:sz w:val="32"/>
          <w:szCs w:val="32"/>
        </w:rPr>
        <w:t>能提供自定义短信模版服务以及相应的短信发送接口（送院内接口发起请求后，目标用户收到短信为一次送达）</w:t>
      </w:r>
      <w:r>
        <w:rPr>
          <w:rStyle w:val="14"/>
          <w:rFonts w:hint="eastAsia" w:ascii="仿宋" w:hAnsi="仿宋" w:eastAsia="仿宋" w:cs="仿宋"/>
          <w:b w:val="0"/>
          <w:bCs/>
          <w:sz w:val="32"/>
          <w:szCs w:val="32"/>
        </w:rPr>
        <w:t>；</w:t>
      </w:r>
    </w:p>
    <w:p>
      <w:pPr>
        <w:pStyle w:val="11"/>
        <w:spacing w:line="360" w:lineRule="auto"/>
        <w:ind w:firstLine="480"/>
        <w:rPr>
          <w:rStyle w:val="14"/>
          <w:rFonts w:hint="eastAsia" w:ascii="仿宋" w:hAnsi="仿宋" w:eastAsia="仿宋" w:cs="仿宋"/>
          <w:b w:val="0"/>
          <w:bCs/>
          <w:sz w:val="32"/>
          <w:szCs w:val="32"/>
        </w:rPr>
      </w:pPr>
      <w:r>
        <w:rPr>
          <w:rStyle w:val="14"/>
          <w:rFonts w:hint="eastAsia" w:ascii="仿宋" w:hAnsi="仿宋" w:eastAsia="仿宋" w:cs="仿宋"/>
          <w:b w:val="0"/>
          <w:bCs/>
          <w:sz w:val="32"/>
          <w:szCs w:val="32"/>
        </w:rPr>
        <w:t>1.3</w:t>
      </w:r>
      <w:r>
        <w:rPr>
          <w:rFonts w:hint="eastAsia" w:ascii="仿宋" w:hAnsi="仿宋" w:eastAsia="仿宋" w:cs="仿宋"/>
          <w:bCs/>
          <w:sz w:val="32"/>
          <w:szCs w:val="32"/>
        </w:rPr>
        <w:t>平台需支持长短信、支持上行、支持返回报告；</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1.4 短信接口下发可靠，支持下发失败的短信重发或延时重发；</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5</w:t>
      </w:r>
      <w:r>
        <w:rPr>
          <w:rFonts w:hint="eastAsia" w:ascii="仿宋" w:hAnsi="仿宋" w:eastAsia="仿宋" w:cs="仿宋"/>
          <w:bCs/>
          <w:sz w:val="32"/>
          <w:szCs w:val="32"/>
        </w:rPr>
        <w:t xml:space="preserve"> </w:t>
      </w:r>
      <w:r>
        <w:rPr>
          <w:rStyle w:val="14"/>
          <w:rFonts w:hint="eastAsia" w:ascii="仿宋" w:hAnsi="仿宋" w:eastAsia="仿宋" w:cs="仿宋"/>
          <w:b w:val="0"/>
          <w:bCs/>
          <w:color w:val="000000"/>
          <w:sz w:val="32"/>
          <w:szCs w:val="32"/>
        </w:rPr>
        <w:t>在排除手机端关机、停机、信号盲区、空号及运营商侧网络波动等情况下，短信平均到达率应≥98%，单条触发到达率应≥98%，3-8秒到达，触发批量发送时，排除运营商故障的情况下，短信应该30秒时间内送达；</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lang w:val="en-US" w:eastAsia="zh-CN"/>
        </w:rPr>
        <w:t>1.6</w:t>
      </w:r>
      <w:r>
        <w:rPr>
          <w:rFonts w:hint="eastAsia" w:ascii="仿宋" w:hAnsi="仿宋" w:eastAsia="仿宋" w:cs="仿宋"/>
          <w:bCs/>
          <w:sz w:val="32"/>
          <w:szCs w:val="32"/>
        </w:rPr>
        <w:t>供应商需提供7*24小时专属团队及技术支持服务，</w:t>
      </w:r>
      <w:r>
        <w:rPr>
          <w:rStyle w:val="14"/>
          <w:rFonts w:hint="eastAsia" w:ascii="仿宋" w:hAnsi="仿宋" w:eastAsia="仿宋" w:cs="仿宋"/>
          <w:b w:val="0"/>
          <w:bCs/>
          <w:sz w:val="32"/>
          <w:szCs w:val="32"/>
        </w:rPr>
        <w:t>能够及时响应医院、患者短信相关咨询服务。</w:t>
      </w:r>
    </w:p>
    <w:p>
      <w:pPr>
        <w:pStyle w:val="11"/>
        <w:spacing w:line="360" w:lineRule="auto"/>
        <w:ind w:firstLine="480"/>
        <w:rPr>
          <w:rStyle w:val="14"/>
          <w:rFonts w:hint="eastAsia" w:ascii="仿宋" w:hAnsi="仿宋" w:eastAsia="仿宋" w:cs="仿宋"/>
          <w:b w:val="0"/>
          <w:bCs/>
          <w:color w:val="000000"/>
          <w:sz w:val="32"/>
          <w:szCs w:val="32"/>
        </w:rPr>
      </w:pPr>
      <w:r>
        <w:rPr>
          <w:rStyle w:val="14"/>
          <w:rFonts w:hint="eastAsia" w:ascii="仿宋" w:hAnsi="仿宋" w:eastAsia="仿宋" w:cs="仿宋"/>
          <w:b w:val="0"/>
          <w:bCs/>
          <w:color w:val="000000"/>
          <w:sz w:val="32"/>
          <w:szCs w:val="32"/>
        </w:rPr>
        <w:t>1.</w:t>
      </w:r>
      <w:r>
        <w:rPr>
          <w:rStyle w:val="14"/>
          <w:rFonts w:hint="eastAsia" w:ascii="仿宋" w:hAnsi="仿宋" w:eastAsia="仿宋" w:cs="仿宋"/>
          <w:b w:val="0"/>
          <w:bCs/>
          <w:color w:val="000000"/>
          <w:sz w:val="32"/>
          <w:szCs w:val="32"/>
          <w:lang w:eastAsia="zh-CN"/>
        </w:rPr>
        <w:t>7</w:t>
      </w:r>
      <w:r>
        <w:rPr>
          <w:rStyle w:val="14"/>
          <w:rFonts w:hint="eastAsia" w:ascii="仿宋" w:hAnsi="仿宋" w:eastAsia="仿宋" w:cs="仿宋"/>
          <w:b w:val="0"/>
          <w:bCs/>
          <w:color w:val="000000"/>
          <w:sz w:val="32"/>
          <w:szCs w:val="32"/>
        </w:rPr>
        <w:t xml:space="preserve"> </w:t>
      </w:r>
      <w:r>
        <w:rPr>
          <w:rFonts w:hint="eastAsia" w:ascii="仿宋" w:hAnsi="仿宋" w:eastAsia="仿宋" w:cs="仿宋"/>
          <w:bCs/>
          <w:sz w:val="32"/>
          <w:szCs w:val="32"/>
        </w:rPr>
        <w:t>提供异常手机号的处理，如各运营商手机号黑名单的解除等。</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合同期间提供维护工作（不限次数）。</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9</w:t>
      </w:r>
      <w:r>
        <w:rPr>
          <w:rFonts w:hint="eastAsia" w:ascii="仿宋" w:hAnsi="仿宋" w:eastAsia="仿宋" w:cs="仿宋"/>
          <w:bCs/>
          <w:sz w:val="32"/>
          <w:szCs w:val="32"/>
        </w:rPr>
        <w:t>供应商需定期向采购人提供短信发送报告，报告内容应满足采购人要求。</w:t>
      </w:r>
    </w:p>
    <w:p>
      <w:pPr>
        <w:pStyle w:val="11"/>
        <w:spacing w:line="360" w:lineRule="auto"/>
        <w:jc w:val="both"/>
        <w:rPr>
          <w:rFonts w:hint="eastAsia" w:ascii="仿宋" w:hAnsi="仿宋" w:eastAsia="仿宋" w:cs="仿宋"/>
          <w:b/>
          <w:bCs w:val="0"/>
          <w:sz w:val="32"/>
          <w:szCs w:val="32"/>
        </w:rPr>
      </w:pPr>
      <w:r>
        <w:rPr>
          <w:rStyle w:val="14"/>
          <w:rFonts w:hint="eastAsia" w:ascii="仿宋" w:hAnsi="仿宋" w:eastAsia="仿宋" w:cs="仿宋"/>
          <w:b/>
          <w:bCs w:val="0"/>
          <w:sz w:val="32"/>
          <w:szCs w:val="32"/>
        </w:rPr>
        <w:t>（二）短信平台能力</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2.1平台功能要求</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2.1.1状态管理功能</w:t>
      </w:r>
    </w:p>
    <w:p>
      <w:pPr>
        <w:pStyle w:val="11"/>
        <w:spacing w:line="360" w:lineRule="auto"/>
        <w:ind w:firstLine="480"/>
        <w:jc w:val="both"/>
        <w:rPr>
          <w:rFonts w:hint="eastAsia" w:ascii="仿宋" w:hAnsi="仿宋" w:eastAsia="仿宋" w:cs="仿宋"/>
          <w:bCs/>
          <w:sz w:val="32"/>
          <w:szCs w:val="32"/>
        </w:rPr>
      </w:pPr>
      <w:r>
        <w:rPr>
          <w:rFonts w:hint="eastAsia" w:ascii="仿宋" w:hAnsi="仿宋" w:eastAsia="仿宋" w:cs="仿宋"/>
          <w:bCs/>
          <w:sz w:val="32"/>
          <w:szCs w:val="32"/>
        </w:rPr>
        <w:t>支持多用户使用，可支持至少1000个用户使用。</w:t>
      </w:r>
      <w:r>
        <w:rPr>
          <w:rFonts w:hint="eastAsia" w:ascii="仿宋" w:hAnsi="仿宋" w:eastAsia="仿宋" w:cs="仿宋"/>
          <w:bCs/>
          <w:color w:val="000000"/>
          <w:sz w:val="32"/>
          <w:szCs w:val="32"/>
        </w:rPr>
        <w:t>如账号管理、权限管理、日志管理、统计报表等功能</w:t>
      </w:r>
      <w:r>
        <w:rPr>
          <w:rFonts w:hint="eastAsia" w:ascii="仿宋" w:hAnsi="仿宋" w:eastAsia="仿宋" w:cs="仿宋"/>
          <w:bCs/>
          <w:sz w:val="32"/>
          <w:szCs w:val="32"/>
        </w:rPr>
        <w:t>。</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2.1.2在线通道切换</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平台运行过程中，需支持在线切换通道，在通道资源出现异常时，后续提交的短信应不受影响，可及时从切换后的通道发出。</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2.1.</w:t>
      </w:r>
      <w:r>
        <w:rPr>
          <w:rStyle w:val="14"/>
          <w:rFonts w:hint="eastAsia" w:ascii="仿宋" w:hAnsi="仿宋" w:eastAsia="仿宋" w:cs="仿宋"/>
          <w:b w:val="0"/>
          <w:bCs/>
          <w:sz w:val="32"/>
          <w:szCs w:val="32"/>
          <w:lang w:val="en-US" w:eastAsia="zh-CN"/>
        </w:rPr>
        <w:t>3</w:t>
      </w:r>
      <w:r>
        <w:rPr>
          <w:rStyle w:val="14"/>
          <w:rFonts w:hint="eastAsia" w:ascii="仿宋" w:hAnsi="仿宋" w:eastAsia="仿宋" w:cs="仿宋"/>
          <w:b w:val="0"/>
          <w:bCs/>
          <w:sz w:val="32"/>
          <w:szCs w:val="32"/>
        </w:rPr>
        <w:t>平台业务监控</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供应商短信平台应具备完善的监控机制，保障短信平台稳定运行，不会对采购人院内业务造成重大影响。</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2.2业务流程要求</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医院内部系统通过HTTP协议接口把相关信息提交到前置机上，前置机通过部署供应商提供的应用服务，实现短消息完整推送到供应商短信网关中心。避免医院内部系统直接访问外网的风险。</w:t>
      </w:r>
    </w:p>
    <w:p>
      <w:pPr>
        <w:pStyle w:val="11"/>
        <w:spacing w:line="360" w:lineRule="auto"/>
        <w:ind w:firstLine="405"/>
        <w:rPr>
          <w:rFonts w:hint="eastAsia" w:ascii="仿宋" w:hAnsi="仿宋" w:eastAsia="仿宋" w:cs="仿宋"/>
          <w:bCs/>
          <w:sz w:val="32"/>
          <w:szCs w:val="32"/>
        </w:rPr>
      </w:pPr>
      <w:r>
        <w:rPr>
          <w:rFonts w:hint="eastAsia" w:ascii="仿宋" w:hAnsi="仿宋" w:eastAsia="仿宋" w:cs="仿宋"/>
          <w:bCs/>
          <w:sz w:val="32"/>
          <w:szCs w:val="32"/>
        </w:rPr>
        <w:t>短信转发实现过程由供应商在采购人提供的硬件环境上完成</w:t>
      </w:r>
      <w:r>
        <w:rPr>
          <w:rFonts w:hint="eastAsia" w:ascii="仿宋" w:hAnsi="仿宋" w:eastAsia="仿宋" w:cs="仿宋"/>
          <w:bCs/>
          <w:sz w:val="32"/>
          <w:szCs w:val="32"/>
          <w:lang w:eastAsia="zh-CN"/>
        </w:rPr>
        <w:t>部署</w:t>
      </w:r>
      <w:r>
        <w:rPr>
          <w:rFonts w:hint="eastAsia" w:ascii="仿宋" w:hAnsi="仿宋" w:eastAsia="仿宋" w:cs="仿宋"/>
          <w:bCs/>
          <w:sz w:val="32"/>
          <w:szCs w:val="32"/>
        </w:rPr>
        <w:t>及联调，供应商必须提供两个以上短信网关中心地址，避免单线路故障从而影响全局业务开展，两个地址其中一个必须包含三大运营商IDC机房稳定线路，网络通讯可用率需达每季度99.5%以上。</w:t>
      </w:r>
    </w:p>
    <w:p>
      <w:pPr>
        <w:pStyle w:val="11"/>
        <w:spacing w:line="360" w:lineRule="auto"/>
        <w:rPr>
          <w:rFonts w:hint="eastAsia" w:ascii="仿宋" w:hAnsi="仿宋" w:eastAsia="仿宋" w:cs="仿宋"/>
          <w:b/>
          <w:bCs w:val="0"/>
          <w:sz w:val="32"/>
          <w:szCs w:val="32"/>
        </w:rPr>
      </w:pPr>
      <w:r>
        <w:rPr>
          <w:rStyle w:val="14"/>
          <w:rFonts w:hint="eastAsia" w:ascii="仿宋" w:hAnsi="仿宋" w:eastAsia="仿宋" w:cs="仿宋"/>
          <w:b/>
          <w:bCs w:val="0"/>
          <w:sz w:val="32"/>
          <w:szCs w:val="32"/>
        </w:rPr>
        <w:t>2.3接口标准</w:t>
      </w:r>
    </w:p>
    <w:p>
      <w:pPr>
        <w:pStyle w:val="11"/>
        <w:spacing w:line="360" w:lineRule="auto"/>
        <w:ind w:firstLine="480"/>
        <w:rPr>
          <w:rFonts w:hint="eastAsia" w:ascii="仿宋" w:hAnsi="仿宋" w:eastAsia="仿宋" w:cs="仿宋"/>
          <w:bCs/>
          <w:sz w:val="32"/>
          <w:szCs w:val="32"/>
        </w:rPr>
      </w:pPr>
      <w:r>
        <w:rPr>
          <w:rStyle w:val="14"/>
          <w:rFonts w:hint="eastAsia" w:ascii="仿宋" w:hAnsi="仿宋" w:eastAsia="仿宋" w:cs="仿宋"/>
          <w:b w:val="0"/>
          <w:bCs/>
          <w:sz w:val="32"/>
          <w:szCs w:val="32"/>
        </w:rPr>
        <w:t>2.3.1 接口</w:t>
      </w:r>
    </w:p>
    <w:p>
      <w:pPr>
        <w:pStyle w:val="11"/>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供应商短信平台需支持</w:t>
      </w:r>
      <w:r>
        <w:rPr>
          <w:rFonts w:hint="eastAsia" w:ascii="仿宋" w:hAnsi="仿宋" w:eastAsia="仿宋" w:cs="仿宋"/>
          <w:bCs/>
          <w:sz w:val="32"/>
          <w:szCs w:val="32"/>
          <w:lang w:eastAsia="zh-CN"/>
        </w:rPr>
        <w:t>现有院内短信接口的适配</w:t>
      </w:r>
      <w:r>
        <w:rPr>
          <w:rFonts w:hint="eastAsia" w:ascii="仿宋" w:hAnsi="仿宋" w:eastAsia="仿宋" w:cs="仿宋"/>
          <w:bCs/>
          <w:sz w:val="32"/>
          <w:szCs w:val="32"/>
        </w:rPr>
        <w:t>进行短信接收和发送，</w:t>
      </w:r>
      <w:r>
        <w:rPr>
          <w:rFonts w:hint="eastAsia" w:ascii="仿宋" w:hAnsi="仿宋" w:eastAsia="仿宋" w:cs="仿宋"/>
          <w:bCs/>
          <w:sz w:val="32"/>
          <w:szCs w:val="32"/>
          <w:lang w:eastAsia="zh-CN"/>
        </w:rPr>
        <w:t>界时短信服务厂商应具备适配院内现有短信接口的能力，院内系统不进行修改，</w:t>
      </w:r>
      <w:r>
        <w:rPr>
          <w:rFonts w:hint="eastAsia" w:ascii="仿宋" w:hAnsi="仿宋" w:eastAsia="仿宋" w:cs="仿宋"/>
          <w:bCs/>
          <w:sz w:val="32"/>
          <w:szCs w:val="32"/>
        </w:rPr>
        <w:t>业务程序以Http Client的方式进行servlet通信，通常使用Http get或者Http post方式。</w:t>
      </w:r>
    </w:p>
    <w:p>
      <w:pPr>
        <w:pStyle w:val="11"/>
        <w:spacing w:line="360" w:lineRule="auto"/>
        <w:ind w:firstLine="643" w:firstLineChars="200"/>
        <w:outlineLvl w:val="1"/>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结算方式</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按季度结算）</w:t>
      </w:r>
      <w:r>
        <w:rPr>
          <w:rFonts w:hint="eastAsia" w:ascii="仿宋" w:hAnsi="仿宋" w:eastAsia="仿宋" w:cs="仿宋"/>
          <w:b/>
          <w:bCs/>
          <w:color w:val="000000"/>
          <w:sz w:val="32"/>
          <w:szCs w:val="32"/>
        </w:rPr>
        <w:t>：</w:t>
      </w:r>
    </w:p>
    <w:p>
      <w:pPr>
        <w:pStyle w:val="11"/>
        <w:spacing w:before="76" w:after="76" w:line="360" w:lineRule="auto"/>
        <w:ind w:right="-362"/>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短信字数（含数字、标点符号、括号、字母等）≤70个字，按70个字一条短信计算；短信字数（含数字、标点符号、括号、字母等）&gt;70个字，即为长短信，按照67个字为一条短信计算。</w:t>
      </w:r>
    </w:p>
    <w:p>
      <w:pPr>
        <w:pStyle w:val="7"/>
        <w:rPr>
          <w:rFonts w:hint="eastAsia" w:ascii="仿宋" w:hAnsi="仿宋" w:eastAsia="仿宋" w:cs="仿宋"/>
          <w:sz w:val="32"/>
          <w:szCs w:val="32"/>
          <w:shd w:val="clear" w:color="auto" w:fill="FFFFFF"/>
        </w:rPr>
      </w:pPr>
      <w:r>
        <w:rPr>
          <w:rFonts w:hint="eastAsia" w:ascii="仿宋" w:hAnsi="仿宋" w:eastAsia="仿宋" w:cs="仿宋"/>
          <w:kern w:val="0"/>
          <w:sz w:val="32"/>
          <w:szCs w:val="32"/>
        </w:rPr>
        <w:br w:type="page"/>
      </w:r>
      <w:r>
        <w:rPr>
          <w:rFonts w:hint="eastAsia" w:ascii="仿宋" w:hAnsi="仿宋" w:eastAsia="仿宋" w:cs="仿宋"/>
          <w:sz w:val="32"/>
          <w:szCs w:val="32"/>
          <w:shd w:val="clear" w:color="auto" w:fill="FFFFFF"/>
        </w:rPr>
        <w:t>附件二</w:t>
      </w: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一、有效期内营业执照复印件（三证合一）</w:t>
      </w: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44"/>
          <w:szCs w:val="44"/>
          <w:shd w:val="clear" w:color="auto" w:fill="FFFFFF"/>
        </w:rPr>
      </w:pPr>
      <w:r>
        <w:rPr>
          <w:rFonts w:hint="eastAsia" w:ascii="仿宋" w:hAnsi="仿宋" w:eastAsia="仿宋" w:cs="仿宋"/>
          <w:sz w:val="32"/>
          <w:szCs w:val="32"/>
          <w:shd w:val="clear" w:color="auto" w:fill="FFFFFF"/>
        </w:rPr>
        <w:t>二、委托代理人及法定代表人的有效身份证明复印件</w:t>
      </w:r>
    </w:p>
    <w:p>
      <w:pPr>
        <w:pStyle w:val="11"/>
        <w:widowControl/>
        <w:shd w:val="clear" w:color="auto" w:fill="FFFFFF"/>
        <w:spacing w:before="0" w:beforeAutospacing="0" w:after="0" w:afterAutospacing="0" w:line="480" w:lineRule="exact"/>
        <w:jc w:val="center"/>
        <w:rPr>
          <w:rFonts w:hint="eastAsia" w:ascii="仿宋" w:hAnsi="仿宋" w:eastAsia="仿宋" w:cs="仿宋"/>
          <w:sz w:val="44"/>
          <w:szCs w:val="44"/>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（一）法定代表人的有效身份证明复印件</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（二）委托代理人的有效身份证明复印件</w:t>
      </w: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三、法定代表人授权委托书原件</w:t>
      </w: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(委托代理人是法定代表人的无需提供)</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福建中医药大学附属第三人民医院：</w:t>
      </w: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兹委托</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（身份证号码：</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）全权代表我单位参加福建中医药大学附属第三人民医院资采通数据交互服务项目的市场调研，全权代表我方处理本次市场调研过程的一切事宜，包括但不限于报价、澄清、声明等。被授权人</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在本次市场调研过程中所签署的一切文件，我方均予以认可并对此承担责任。</w:t>
      </w: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授权有效期自委托时间起90天内有</w:t>
      </w:r>
      <w:bookmarkStart w:id="0" w:name="_GoBack"/>
      <w:bookmarkEnd w:id="0"/>
      <w:r>
        <w:rPr>
          <w:rFonts w:hint="eastAsia" w:ascii="仿宋" w:hAnsi="仿宋" w:eastAsia="仿宋" w:cs="仿宋"/>
          <w:sz w:val="32"/>
          <w:szCs w:val="32"/>
          <w:shd w:val="clear" w:color="auto" w:fill="FFFFFF"/>
        </w:rPr>
        <w:t>效。</w:t>
      </w:r>
    </w:p>
    <w:p>
      <w:pPr>
        <w:pStyle w:val="11"/>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pStyle w:val="11"/>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委托单位（盖章）：</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 xml:space="preserve"> </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法定代表人联系电话：</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被授权代表人：</w:t>
      </w:r>
    </w:p>
    <w:p>
      <w:pPr>
        <w:pStyle w:val="11"/>
        <w:widowControl/>
        <w:shd w:val="clear" w:color="auto" w:fill="FFFFFF"/>
        <w:spacing w:before="0" w:beforeAutospacing="0" w:after="0" w:afterAutospacing="0" w:line="480" w:lineRule="exac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被授权代表人联系电话：</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委托时间：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四、三年内无违法记录书面声明</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参加本次市场调研前三年内，我方在经营活动中没有违法记录，也无行贿犯罪记录，否则产生不利后果由我方承担责任。</w:t>
      </w: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特此声明！</w:t>
      </w: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eastAsia="zh-CN"/>
        </w:rPr>
        <w:t>五</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lang w:eastAsia="zh-CN"/>
        </w:rPr>
        <w:t>方案书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（一）短信服务项目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1.报价一览表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金额单位：人民币元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524"/>
        <w:gridCol w:w="862"/>
        <w:gridCol w:w="1061"/>
        <w:gridCol w:w="204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1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w:t>
            </w:r>
          </w:p>
        </w:tc>
        <w:tc>
          <w:tcPr>
            <w:tcW w:w="252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项目名称</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数量</w:t>
            </w:r>
          </w:p>
        </w:tc>
        <w:tc>
          <w:tcPr>
            <w:tcW w:w="10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单位</w:t>
            </w:r>
          </w:p>
        </w:tc>
        <w:tc>
          <w:tcPr>
            <w:tcW w:w="204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firstLine="320" w:firstLineChars="1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单条报价</w:t>
            </w:r>
          </w:p>
        </w:tc>
        <w:tc>
          <w:tcPr>
            <w:tcW w:w="135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短信服务项目</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10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元/条</w:t>
            </w:r>
          </w:p>
        </w:tc>
        <w:tc>
          <w:tcPr>
            <w:tcW w:w="13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2</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5G消息服务项目</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10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w:t>
            </w: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元/条</w:t>
            </w:r>
          </w:p>
        </w:tc>
        <w:tc>
          <w:tcPr>
            <w:tcW w:w="13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注：以上报价均已包含税费、人工费以及院内现有第三方系统的兼容性调试、对接改造费用。本次报价有效期90天。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如响应厂商所报价格高于单条报价的则报价无效。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11"/>
        <w:widowControl/>
        <w:shd w:val="clear" w:color="auto" w:fill="FFFFFF"/>
        <w:spacing w:before="0" w:beforeAutospacing="0" w:after="0" w:afterAutospacing="0" w:line="24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r>
        <w:rPr>
          <w:rFonts w:hint="eastAsia" w:ascii="仿宋" w:hAnsi="仿宋" w:eastAsia="仿宋" w:cs="仿宋"/>
          <w:sz w:val="32"/>
          <w:szCs w:val="32"/>
          <w:shd w:val="clear" w:color="auto" w:fill="FFFFFF"/>
        </w:rPr>
        <w:t>（二）方案书</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方案书</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pStyle w:val="11"/>
        <w:widowControl/>
        <w:numPr>
          <w:ilvl w:val="0"/>
          <w:numId w:val="3"/>
        </w:numPr>
        <w:shd w:val="clear" w:color="auto" w:fill="FFFFFF"/>
        <w:spacing w:before="0" w:beforeAutospacing="0" w:after="0" w:afterAutospacing="0" w:line="480" w:lineRule="exact"/>
        <w:ind w:left="160" w:leftChars="0" w:firstLine="0" w:firstLineChars="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相关</w:t>
      </w:r>
      <w:r>
        <w:rPr>
          <w:rFonts w:hint="eastAsia" w:ascii="仿宋" w:hAnsi="仿宋" w:eastAsia="仿宋" w:cs="仿宋"/>
          <w:sz w:val="32"/>
          <w:szCs w:val="32"/>
          <w:shd w:val="clear" w:color="auto" w:fill="FFFFFF"/>
        </w:rPr>
        <w:t>案例</w:t>
      </w:r>
    </w:p>
    <w:p>
      <w:pPr>
        <w:pStyle w:val="11"/>
        <w:widowControl/>
        <w:numPr>
          <w:ilvl w:val="0"/>
          <w:numId w:val="3"/>
        </w:numPr>
        <w:shd w:val="clear" w:color="auto" w:fill="FFFFFF"/>
        <w:spacing w:before="0" w:beforeAutospacing="0" w:after="0" w:afterAutospacing="0" w:line="480" w:lineRule="exact"/>
        <w:ind w:left="160" w:leftChars="0" w:right="0" w:rightChars="0" w:firstLine="0" w:firstLineChars="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其余相关佐证材料（如有）</w:t>
      </w: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r>
        <w:rPr>
          <w:rFonts w:hint="eastAsia" w:ascii="仿宋" w:hAnsi="仿宋" w:eastAsia="仿宋" w:cs="仿宋"/>
          <w:sz w:val="32"/>
          <w:szCs w:val="32"/>
          <w:shd w:val="clear" w:color="auto" w:fill="FFFFFF"/>
        </w:rPr>
        <w:t>六、服务承诺书</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pPr>
        <w:widowControl/>
        <w:shd w:val="clear" w:color="auto" w:fill="FFFFFF"/>
        <w:spacing w:line="360" w:lineRule="auto"/>
        <w:ind w:firstLine="601"/>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我单位可以完全按照贵单位本次市场调研文件中“三、调研内容及要求”所约定的要求向贵单位提供相应服务，除所报价格外不再收取其他费用。</w:t>
      </w: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pPr>
        <w:pStyle w:val="11"/>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r>
        <w:rPr>
          <w:rFonts w:hint="eastAsia" w:ascii="仿宋" w:hAnsi="仿宋" w:eastAsia="仿宋" w:cs="仿宋"/>
          <w:sz w:val="32"/>
          <w:szCs w:val="32"/>
          <w:shd w:val="clear" w:color="auto" w:fill="FFFFFF"/>
        </w:rPr>
        <w:t>七</w:t>
      </w:r>
      <w:r>
        <w:rPr>
          <w:rFonts w:hint="eastAsia" w:ascii="仿宋" w:hAnsi="仿宋" w:eastAsia="仿宋" w:cs="仿宋"/>
          <w:sz w:val="32"/>
          <w:szCs w:val="32"/>
          <w:shd w:val="clear" w:color="auto" w:fill="FFFFFF"/>
        </w:rPr>
        <w:t>、数据安全承诺书</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pPr>
        <w:widowControl/>
        <w:shd w:val="clear" w:color="auto" w:fill="FFFFFF"/>
        <w:spacing w:line="560" w:lineRule="exact"/>
        <w:ind w:firstLine="601"/>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可以完全按照贵单位本次市场调研文件中“三、调研内容及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pPr>
        <w:pStyle w:val="11"/>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pPr>
        <w:rPr>
          <w:rFonts w:hint="eastAsia" w:ascii="仿宋" w:hAnsi="仿宋" w:eastAsia="仿宋" w:cs="仿宋"/>
        </w:rPr>
      </w:pPr>
    </w:p>
    <w:sectPr>
      <w:headerReference r:id="rId3" w:type="default"/>
      <w:footerReference r:id="rId4" w:type="default"/>
      <w:pgSz w:w="12240" w:h="15840"/>
      <w:pgMar w:top="1701" w:right="1474" w:bottom="1417" w:left="147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90EC"/>
    <w:multiLevelType w:val="multilevel"/>
    <w:tmpl w:val="995390EC"/>
    <w:lvl w:ilvl="0" w:tentative="0">
      <w:start w:val="1"/>
      <w:numFmt w:val="decimal"/>
      <w:pStyle w:val="3"/>
      <w:lvlText w:val="%1"/>
      <w:lvlJc w:val="left"/>
      <w:pPr>
        <w:tabs>
          <w:tab w:val="left" w:pos="432"/>
        </w:tabs>
        <w:ind w:left="432" w:hanging="432"/>
      </w:pPr>
      <w:rPr>
        <w:rFonts w:hint="default" w:ascii="宋体" w:hAnsi="宋体" w:eastAsia="宋体" w:cs="宋体"/>
      </w:rPr>
    </w:lvl>
    <w:lvl w:ilvl="1" w:tentative="0">
      <w:start w:val="1"/>
      <w:numFmt w:val="decimal"/>
      <w:pStyle w:val="4"/>
      <w:lvlText w:val="%1.%2"/>
      <w:lvlJc w:val="left"/>
      <w:pPr>
        <w:tabs>
          <w:tab w:val="left" w:pos="575"/>
        </w:tabs>
        <w:ind w:left="575" w:hanging="575"/>
      </w:pPr>
      <w:rPr>
        <w:rFonts w:hint="default" w:ascii="宋体" w:hAnsi="宋体" w:eastAsia="宋体" w:cs="宋体"/>
        <w:sz w:val="28"/>
      </w:rPr>
    </w:lvl>
    <w:lvl w:ilvl="2" w:tentative="0">
      <w:start w:val="1"/>
      <w:numFmt w:val="decimal"/>
      <w:pStyle w:val="5"/>
      <w:lvlText w:val="%1.%2.%3"/>
      <w:lvlJc w:val="left"/>
      <w:pPr>
        <w:tabs>
          <w:tab w:val="left" w:pos="720"/>
        </w:tabs>
        <w:ind w:left="720" w:hanging="720"/>
      </w:pPr>
      <w:rPr>
        <w:rFonts w:hint="default" w:ascii="宋体" w:hAnsi="宋体" w:eastAsia="宋体" w:cs="宋体"/>
      </w:rPr>
    </w:lvl>
    <w:lvl w:ilvl="3" w:tentative="0">
      <w:start w:val="1"/>
      <w:numFmt w:val="decimal"/>
      <w:pStyle w:val="6"/>
      <w:lvlText w:val="%1.%2.%3.%4"/>
      <w:lvlJc w:val="left"/>
      <w:pPr>
        <w:tabs>
          <w:tab w:val="left" w:pos="864"/>
        </w:tabs>
        <w:ind w:left="864" w:hanging="864"/>
      </w:pPr>
      <w:rPr>
        <w:rFonts w:hint="default" w:ascii="宋体" w:hAnsi="宋体" w:eastAsia="宋体" w:cs="宋体"/>
      </w:rPr>
    </w:lvl>
    <w:lvl w:ilvl="4" w:tentative="0">
      <w:start w:val="1"/>
      <w:numFmt w:val="decimal"/>
      <w:lvlText w:val="%1.%2.%3.%4.%5"/>
      <w:lvlJc w:val="left"/>
      <w:pPr>
        <w:tabs>
          <w:tab w:val="left" w:pos="1008"/>
        </w:tabs>
        <w:ind w:left="1008" w:hanging="1008"/>
      </w:pPr>
      <w:rPr>
        <w:rFonts w:hint="default" w:ascii="宋体" w:hAnsi="宋体" w:eastAsia="宋体" w:cs="Times New Roman"/>
      </w:rPr>
    </w:lvl>
    <w:lvl w:ilvl="5" w:tentative="0">
      <w:start w:val="1"/>
      <w:numFmt w:val="decimal"/>
      <w:lvlText w:val="%1.%2.%3.%4.%5.%6"/>
      <w:lvlJc w:val="left"/>
      <w:pPr>
        <w:tabs>
          <w:tab w:val="left" w:pos="1151"/>
        </w:tabs>
        <w:ind w:left="1151" w:hanging="1151"/>
      </w:pPr>
      <w:rPr>
        <w:rFonts w:hint="default" w:ascii="宋体" w:hAnsi="宋体" w:eastAsia="宋体" w:cs="Times New Roman"/>
      </w:rPr>
    </w:lvl>
    <w:lvl w:ilvl="6" w:tentative="0">
      <w:start w:val="1"/>
      <w:numFmt w:val="decimal"/>
      <w:lvlText w:val="%1.%2.%3.%4.%5.%6.%7"/>
      <w:lvlJc w:val="left"/>
      <w:pPr>
        <w:tabs>
          <w:tab w:val="left" w:pos="1296"/>
        </w:tabs>
        <w:ind w:left="1296" w:hanging="1296"/>
      </w:pPr>
      <w:rPr>
        <w:rFonts w:hint="default" w:ascii="宋体" w:hAnsi="宋体" w:eastAsia="宋体" w:cs="Times New Roman"/>
      </w:rPr>
    </w:lvl>
    <w:lvl w:ilvl="7" w:tentative="0">
      <w:start w:val="1"/>
      <w:numFmt w:val="decimal"/>
      <w:lvlText w:val="%1.%2.%3.%4.%5.%6.%7.%8"/>
      <w:lvlJc w:val="left"/>
      <w:pPr>
        <w:tabs>
          <w:tab w:val="left" w:pos="1440"/>
        </w:tabs>
        <w:ind w:left="1440" w:hanging="1440"/>
      </w:pPr>
      <w:rPr>
        <w:rFonts w:hint="default" w:ascii="宋体" w:hAnsi="宋体" w:eastAsia="宋体" w:cs="Times New Roman"/>
      </w:rPr>
    </w:lvl>
    <w:lvl w:ilvl="8" w:tentative="0">
      <w:start w:val="1"/>
      <w:numFmt w:val="decimal"/>
      <w:lvlText w:val="%1.%2.%3.%4.%5.%6.%7.%8.%9"/>
      <w:lvlJc w:val="left"/>
      <w:pPr>
        <w:tabs>
          <w:tab w:val="left" w:pos="1583"/>
        </w:tabs>
        <w:ind w:left="1583" w:hanging="1583"/>
      </w:pPr>
      <w:rPr>
        <w:rFonts w:hint="default" w:ascii="宋体" w:hAnsi="宋体" w:eastAsia="宋体" w:cs="Times New Roman"/>
      </w:rPr>
    </w:lvl>
  </w:abstractNum>
  <w:abstractNum w:abstractNumId="1">
    <w:nsid w:val="4B135DB7"/>
    <w:multiLevelType w:val="singleLevel"/>
    <w:tmpl w:val="4B135DB7"/>
    <w:lvl w:ilvl="0" w:tentative="0">
      <w:start w:val="1"/>
      <w:numFmt w:val="decimal"/>
      <w:suff w:val="nothing"/>
      <w:lvlText w:val="（%1）"/>
      <w:lvlJc w:val="left"/>
      <w:pPr>
        <w:ind w:left="320"/>
      </w:pPr>
    </w:lvl>
  </w:abstractNum>
  <w:abstractNum w:abstractNumId="2">
    <w:nsid w:val="4ED20A6E"/>
    <w:multiLevelType w:val="singleLevel"/>
    <w:tmpl w:val="4ED20A6E"/>
    <w:lvl w:ilvl="0" w:tentative="0">
      <w:start w:val="1"/>
      <w:numFmt w:val="decimal"/>
      <w:lvlText w:val="%1."/>
      <w:lvlJc w:val="left"/>
      <w:pPr>
        <w:tabs>
          <w:tab w:val="left" w:pos="312"/>
        </w:tabs>
        <w:ind w:left="16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MGQ0NTE2Y2RlMWYxMjA4OTYzOTVhZDI4Y2U3ZjcifQ=="/>
  </w:docVars>
  <w:rsids>
    <w:rsidRoot w:val="2ED52B41"/>
    <w:rsid w:val="10D77EE0"/>
    <w:rsid w:val="1666516D"/>
    <w:rsid w:val="18DF3744"/>
    <w:rsid w:val="2ED52B41"/>
    <w:rsid w:val="3B974B60"/>
    <w:rsid w:val="3D902038"/>
    <w:rsid w:val="4E302BF3"/>
    <w:rsid w:val="7D8D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Times New Roman" w:hAnsi="Times New Roman" w:eastAsia="宋体" w:cs="Times New Roman"/>
      <w:b/>
      <w:kern w:val="44"/>
      <w:sz w:val="32"/>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rFonts w:ascii="Times New Roman" w:hAnsi="Times New Roman" w:eastAsia="宋体" w:cs="Times New Roman"/>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Normal Indent"/>
    <w:basedOn w:val="1"/>
    <w:qFormat/>
    <w:uiPriority w:val="0"/>
    <w:pPr>
      <w:ind w:firstLine="420"/>
    </w:pPr>
    <w:rPr>
      <w:kern w:val="2"/>
      <w:sz w:val="21"/>
    </w:rPr>
  </w:style>
  <w:style w:type="paragraph" w:styleId="8">
    <w:name w:val="Body Text"/>
    <w:basedOn w:val="1"/>
    <w:qFormat/>
    <w:uiPriority w:val="0"/>
    <w:pPr>
      <w:spacing w:after="120"/>
    </w:pPr>
  </w:style>
  <w:style w:type="paragraph" w:styleId="9">
    <w:name w:val="footer"/>
    <w:basedOn w:val="1"/>
    <w:qFormat/>
    <w:uiPriority w:val="0"/>
    <w:pPr>
      <w:tabs>
        <w:tab w:val="center" w:pos="4153"/>
        <w:tab w:val="right" w:pos="8306"/>
      </w:tabs>
      <w:snapToGrid w:val="0"/>
      <w:jc w:val="left"/>
    </w:pPr>
    <w:rPr>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uiPriority w:val="0"/>
    <w:rPr>
      <w:color w:val="0000FF"/>
      <w:u w:val="single"/>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2799</Words>
  <Characters>3008</Characters>
  <Lines>0</Lines>
  <Paragraphs>0</Paragraphs>
  <TotalTime>6403</TotalTime>
  <ScaleCrop>false</ScaleCrop>
  <LinksUpToDate>false</LinksUpToDate>
  <CharactersWithSpaces>3312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2024-07-29T08:32:00Z</dcterms:created>
  <dc:creator>Tangwei</dc:creator>
  <cp:lastModifiedBy>系统管理员</cp:lastModifiedBy>
  <cp:lastPrinted>2024-08-19T06:56:54Z</cp:lastPrinted>
  <dcterms:modified xsi:type="dcterms:W3CDTF">2024-08-20T00:43:43Z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EA83F99E31A54FED916419E284DCB888</vt:lpwstr>
  </property>
</Properties>
</file>