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黑体" w:hAnsi="黑体" w:eastAsia="黑体" w:cs="黑体"/>
          <w:i w:val="0"/>
          <w:iCs w:val="0"/>
          <w:caps w:val="0"/>
          <w:color w:val="auto"/>
          <w:spacing w:val="0"/>
          <w:sz w:val="32"/>
          <w:szCs w:val="32"/>
          <w:shd w:val="clear" w:color="auto" w:fill="FFFFFF"/>
          <w:lang w:val="en-US" w:eastAsia="zh-CN"/>
        </w:rPr>
      </w:pPr>
      <w:bookmarkStart w:id="0" w:name="_GoBack"/>
      <w:r>
        <w:rPr>
          <w:rFonts w:hint="eastAsia" w:ascii="黑体" w:hAnsi="黑体" w:eastAsia="黑体" w:cs="黑体"/>
          <w:i w:val="0"/>
          <w:iCs w:val="0"/>
          <w:caps w:val="0"/>
          <w:color w:val="auto"/>
          <w:spacing w:val="0"/>
          <w:sz w:val="32"/>
          <w:szCs w:val="32"/>
          <w:shd w:val="clear" w:color="auto" w:fill="FFFFFF"/>
          <w:lang w:val="en-US" w:eastAsia="zh-CN"/>
        </w:rPr>
        <w:t>附件二</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黑体" w:hAnsi="黑体" w:eastAsia="黑体" w:cs="黑体"/>
          <w:i w:val="0"/>
          <w:iCs w:val="0"/>
          <w:caps w:val="0"/>
          <w:color w:val="auto"/>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32"/>
          <w:szCs w:val="32"/>
          <w:shd w:val="clear" w:color="auto" w:fill="FFFFFF"/>
          <w:lang w:val="en-US" w:eastAsia="zh-CN"/>
        </w:rPr>
        <w:t>合同包2：2025年生活垃圾清运服务内容及要求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黑体" w:hAnsi="黑体" w:eastAsia="黑体" w:cs="黑体"/>
          <w:i w:val="0"/>
          <w:iCs w:val="0"/>
          <w:caps w:val="0"/>
          <w:color w:val="auto"/>
          <w:spacing w:val="0"/>
          <w:sz w:val="32"/>
          <w:szCs w:val="32"/>
          <w:shd w:val="clear" w:color="auto" w:fill="FFFFFF"/>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00" w:lineRule="exact"/>
        <w:ind w:firstLine="640" w:firstLineChars="200"/>
        <w:jc w:val="left"/>
        <w:textAlignment w:val="auto"/>
        <w:outlineLvl w:val="9"/>
        <w:rPr>
          <w:rFonts w:hint="eastAsia" w:ascii="仿宋" w:hAnsi="仿宋" w:eastAsia="仿宋" w:cs="仿宋"/>
          <w:b w:val="0"/>
          <w:bCs/>
          <w:color w:val="auto"/>
          <w:sz w:val="32"/>
          <w:szCs w:val="32"/>
          <w:highlight w:val="none"/>
          <w:lang w:eastAsia="zh-CN" w:bidi="ar"/>
        </w:rPr>
      </w:pPr>
      <w:r>
        <w:rPr>
          <w:rFonts w:hint="eastAsia" w:ascii="仿宋" w:hAnsi="仿宋" w:eastAsia="仿宋" w:cs="仿宋"/>
          <w:b w:val="0"/>
          <w:bCs/>
          <w:color w:val="auto"/>
          <w:sz w:val="32"/>
          <w:szCs w:val="32"/>
          <w:highlight w:val="none"/>
          <w:lang w:val="en-US" w:eastAsia="zh-CN" w:bidi="ar"/>
        </w:rPr>
        <w:t>一、</w:t>
      </w:r>
      <w:r>
        <w:rPr>
          <w:rFonts w:hint="eastAsia" w:ascii="仿宋" w:hAnsi="仿宋" w:eastAsia="仿宋" w:cs="仿宋"/>
          <w:b w:val="0"/>
          <w:bCs/>
          <w:color w:val="auto"/>
          <w:sz w:val="32"/>
          <w:szCs w:val="32"/>
          <w:highlight w:val="none"/>
          <w:lang w:bidi="ar"/>
        </w:rPr>
        <w:t>服务</w:t>
      </w:r>
      <w:r>
        <w:rPr>
          <w:rFonts w:hint="eastAsia" w:ascii="仿宋" w:hAnsi="仿宋" w:eastAsia="仿宋" w:cs="仿宋"/>
          <w:b w:val="0"/>
          <w:bCs/>
          <w:color w:val="auto"/>
          <w:sz w:val="32"/>
          <w:szCs w:val="32"/>
          <w:highlight w:val="none"/>
          <w:lang w:eastAsia="zh-CN" w:bidi="ar"/>
        </w:rPr>
        <w:t>内容及</w:t>
      </w:r>
      <w:r>
        <w:rPr>
          <w:rFonts w:hint="eastAsia" w:ascii="仿宋" w:hAnsi="仿宋" w:eastAsia="仿宋" w:cs="仿宋"/>
          <w:b w:val="0"/>
          <w:bCs/>
          <w:color w:val="auto"/>
          <w:sz w:val="32"/>
          <w:szCs w:val="32"/>
          <w:highlight w:val="none"/>
          <w:lang w:bidi="ar"/>
        </w:rPr>
        <w:t>要求</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00" w:lineRule="exact"/>
        <w:ind w:firstLine="640" w:firstLineChars="200"/>
        <w:jc w:val="left"/>
        <w:textAlignment w:val="auto"/>
        <w:outlineLvl w:val="9"/>
        <w:rPr>
          <w:rFonts w:hint="eastAsia" w:ascii="仿宋" w:hAnsi="仿宋" w:eastAsia="仿宋" w:cs="仿宋"/>
          <w:b w:val="0"/>
          <w:bCs/>
          <w:color w:val="auto"/>
          <w:sz w:val="32"/>
          <w:szCs w:val="32"/>
          <w:highlight w:val="none"/>
          <w:lang w:bidi="ar"/>
        </w:rPr>
      </w:pPr>
      <w:r>
        <w:rPr>
          <w:rFonts w:hint="eastAsia" w:ascii="仿宋" w:hAnsi="仿宋" w:eastAsia="仿宋" w:cs="仿宋"/>
          <w:b w:val="0"/>
          <w:bCs/>
          <w:color w:val="auto"/>
          <w:sz w:val="32"/>
          <w:szCs w:val="32"/>
          <w:highlight w:val="none"/>
          <w:lang w:bidi="ar"/>
        </w:rPr>
        <w:t>（一）项目范围</w:t>
      </w:r>
      <w:r>
        <w:rPr>
          <w:rFonts w:hint="eastAsia" w:ascii="仿宋" w:hAnsi="仿宋" w:eastAsia="仿宋" w:cs="仿宋"/>
          <w:b w:val="0"/>
          <w:bCs/>
          <w:color w:val="auto"/>
          <w:sz w:val="32"/>
          <w:szCs w:val="32"/>
          <w:highlight w:val="none"/>
          <w:lang w:bidi="ar"/>
        </w:rPr>
        <w:tab/>
      </w:r>
      <w:r>
        <w:rPr>
          <w:rFonts w:hint="eastAsia" w:ascii="仿宋" w:hAnsi="仿宋" w:eastAsia="仿宋" w:cs="仿宋"/>
          <w:b w:val="0"/>
          <w:bCs/>
          <w:color w:val="auto"/>
          <w:sz w:val="32"/>
          <w:szCs w:val="32"/>
          <w:highlight w:val="none"/>
          <w:lang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right="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1、采购人每日需要转运到政府指定的垃圾转运场地或垃圾终端处置点的除了资产报废垃圾、建筑垃圾、绿化垃圾、厨余垃圾、医学垃圾和化学品垃圾外的生活垃圾。</w:t>
      </w:r>
      <w:r>
        <w:rPr>
          <w:rFonts w:hint="eastAsia" w:ascii="仿宋" w:hAnsi="仿宋" w:eastAsia="仿宋" w:cs="仿宋"/>
          <w:b w:val="0"/>
          <w:bCs/>
          <w:color w:val="auto"/>
          <w:kern w:val="28"/>
          <w:sz w:val="32"/>
          <w:szCs w:val="32"/>
          <w:highlight w:val="none"/>
          <w:lang w:val="en-US" w:eastAsia="zh-CN" w:bidi="ar"/>
        </w:rPr>
        <w:tab/>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00" w:lineRule="exact"/>
        <w:ind w:firstLine="640" w:firstLineChars="200"/>
        <w:jc w:val="left"/>
        <w:textAlignment w:val="auto"/>
        <w:outlineLvl w:val="9"/>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sz w:val="32"/>
          <w:szCs w:val="32"/>
          <w:highlight w:val="none"/>
          <w:lang w:val="en-US" w:eastAsia="zh-CN" w:bidi="ar"/>
        </w:rPr>
        <w:t>（二）作业任务</w:t>
      </w:r>
      <w:r>
        <w:rPr>
          <w:rFonts w:hint="eastAsia" w:ascii="仿宋" w:hAnsi="仿宋" w:eastAsia="仿宋" w:cs="仿宋"/>
          <w:b w:val="0"/>
          <w:bCs/>
          <w:color w:val="auto"/>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bCs w:val="0"/>
          <w:color w:val="auto"/>
          <w:kern w:val="28"/>
          <w:sz w:val="32"/>
          <w:szCs w:val="32"/>
          <w:highlight w:val="none"/>
          <w:lang w:val="en-US" w:eastAsia="zh-CN" w:bidi="ar"/>
        </w:rPr>
        <w:t>1</w:t>
      </w:r>
      <w:r>
        <w:rPr>
          <w:rFonts w:hint="eastAsia" w:ascii="仿宋" w:hAnsi="仿宋" w:eastAsia="仿宋" w:cs="仿宋"/>
          <w:b w:val="0"/>
          <w:bCs/>
          <w:color w:val="auto"/>
          <w:kern w:val="28"/>
          <w:sz w:val="32"/>
          <w:szCs w:val="32"/>
          <w:highlight w:val="none"/>
          <w:lang w:val="en-US" w:eastAsia="zh-CN" w:bidi="ar"/>
        </w:rPr>
        <w:t>、服务供应商垃圾清运管理应达到：制度完善、设备完好、保洁及时、卫生良好、管理到位、整治有序、文明作业、优质服务。</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bCs w:val="0"/>
          <w:color w:val="auto"/>
          <w:kern w:val="28"/>
          <w:sz w:val="32"/>
          <w:szCs w:val="32"/>
          <w:highlight w:val="none"/>
          <w:lang w:val="en-US" w:eastAsia="zh-CN" w:bidi="ar"/>
        </w:rPr>
        <w:t>2</w:t>
      </w:r>
      <w:r>
        <w:rPr>
          <w:rFonts w:hint="eastAsia" w:ascii="仿宋" w:hAnsi="仿宋" w:eastAsia="仿宋" w:cs="仿宋"/>
          <w:b w:val="0"/>
          <w:bCs/>
          <w:color w:val="auto"/>
          <w:kern w:val="28"/>
          <w:sz w:val="32"/>
          <w:szCs w:val="32"/>
          <w:highlight w:val="none"/>
          <w:lang w:val="en-US" w:eastAsia="zh-CN" w:bidi="ar"/>
        </w:rPr>
        <w:t>、服务供应商配备有专业密闭式垃圾清运车辆。</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bCs w:val="0"/>
          <w:color w:val="auto"/>
          <w:kern w:val="28"/>
          <w:sz w:val="32"/>
          <w:szCs w:val="32"/>
          <w:highlight w:val="none"/>
          <w:lang w:val="en-US" w:eastAsia="zh-CN" w:bidi="ar"/>
        </w:rPr>
        <w:t>3</w:t>
      </w:r>
      <w:r>
        <w:rPr>
          <w:rFonts w:hint="eastAsia" w:ascii="仿宋" w:hAnsi="仿宋" w:eastAsia="仿宋" w:cs="仿宋"/>
          <w:b w:val="0"/>
          <w:bCs/>
          <w:color w:val="auto"/>
          <w:kern w:val="28"/>
          <w:sz w:val="32"/>
          <w:szCs w:val="32"/>
          <w:highlight w:val="none"/>
          <w:lang w:val="en-US" w:eastAsia="zh-CN" w:bidi="ar"/>
        </w:rPr>
        <w:t>、服务供应商保证垃圾清运车辆完好，正常运输；运输时遵守交规、密闭运输；车容整洁，不超载、不加挂垃圾；严禁污水滴漏。</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（三）服务范围及要求</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1、服务范围及经费预算</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（1）采购人生活垃圾暂存处；</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（2）清运时间：服务供应商服务方案以实际现场时间拟定，确保除特殊原因，做到日产日清；</w:t>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（3）合同金额包括但不限于人工费、装卸费、车辆运输费、安全措施费和安全风险费、税金、利润及其它费用等；</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2、质量标准、作业规范：</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(1)服务供应商须根据垃圾清运作业规定进行清运，垃圾清运运输包括：压缩密封运输、箱式密闭运输、自卸车覆盖运输等。</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(2)采购人收集的垃圾，服务供应商应日产日清，作业后清洁设备场地；</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(3)服务供应商垃圾运输车辆保持车容整洁、车体无污物、标志清晰；</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(4)服务供应商运输垃圾保存密闭、不裸露。无垃圾飞扬、拖挂和污水滴漏；</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(5)服务供应商装运垃圾以有效容积为限，不准超量超高运输；</w:t>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3、垃圾收运量：</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(1)采购人每日垃圾清运量预估为13桶（660升），该垃圾收运量基本维持长期稳定的水平。</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(2)在合同履行期间，采购人不因垃圾增量对垃圾运输服务费进行调整，服务供应商在报价中已充分考虑此因素，采购人不对服务供应商据此作出的判断和决策负责。</w:t>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4、人员及设备配置要求：</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4.1服务供应商人员配备要求：驾驶员不少于1人，管理员不少于1人，辅助工不少于1人4.2服务供应商作业车辆最低配备要求：服务供应商必须保证合同签订后至少有1部垃圾车到位并投入使用，并在垃圾车故障无法使用时，可以联系到其他垃圾车进行清运。</w:t>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（四）服务和质量要求</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1、服务区域垃圾源头收运由服务供应商负责。</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(1)服务供应商保证采购人生活垃圾暂存处周边的卫生干净卫生，应按要求清理现场遗落垃圾，按顺序依次摆放垃圾桶。</w:t>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(2)服务供应商保证清运采购人的车辆，运输途中无滴漏、不开启桶盖，做到无公害作业。</w:t>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(3)服务供应商保证垃圾日产日清不过夜。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(4)采购人垃圾暂存站内的垃圾桶在使用过程中由服务供应商造成损坏，由服务供应商负责维修或更换。</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b w:val="0"/>
          <w:bCs/>
          <w:color w:val="auto"/>
          <w:kern w:val="28"/>
          <w:sz w:val="32"/>
          <w:szCs w:val="32"/>
          <w:highlight w:val="none"/>
          <w:lang w:val="en-US" w:eastAsia="zh-CN" w:bidi="ar"/>
        </w:rPr>
      </w:pPr>
      <w:r>
        <w:rPr>
          <w:rFonts w:hint="eastAsia" w:ascii="仿宋" w:hAnsi="仿宋" w:eastAsia="仿宋" w:cs="仿宋"/>
          <w:b w:val="0"/>
          <w:bCs/>
          <w:color w:val="auto"/>
          <w:kern w:val="28"/>
          <w:sz w:val="32"/>
          <w:szCs w:val="32"/>
          <w:highlight w:val="none"/>
          <w:lang w:val="en-US" w:eastAsia="zh-CN" w:bidi="ar"/>
        </w:rPr>
        <w:t>2、垃圾收运迎检及应急预案：</w:t>
      </w:r>
      <w:r>
        <w:rPr>
          <w:rFonts w:hint="eastAsia" w:ascii="仿宋" w:hAnsi="仿宋" w:eastAsia="仿宋" w:cs="仿宋"/>
          <w:b w:val="0"/>
          <w:bCs/>
          <w:color w:val="auto"/>
          <w:kern w:val="28"/>
          <w:sz w:val="32"/>
          <w:szCs w:val="32"/>
          <w:highlight w:val="none"/>
          <w:lang w:val="en-US" w:eastAsia="zh-CN" w:bidi="ar"/>
        </w:rPr>
        <w:tab/>
      </w:r>
      <w:r>
        <w:rPr>
          <w:rFonts w:hint="eastAsia" w:ascii="仿宋" w:hAnsi="仿宋" w:eastAsia="仿宋" w:cs="仿宋"/>
          <w:b w:val="0"/>
          <w:bCs/>
          <w:color w:val="auto"/>
          <w:kern w:val="28"/>
          <w:sz w:val="32"/>
          <w:szCs w:val="32"/>
          <w:highlight w:val="none"/>
          <w:lang w:val="en-US" w:eastAsia="zh-CN" w:bidi="ar"/>
        </w:rPr>
        <w:tab/>
      </w:r>
    </w:p>
    <w:p>
      <w:pPr>
        <w:pStyle w:val="3"/>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val="0"/>
          <w:bCs/>
          <w:color w:val="auto"/>
          <w:kern w:val="28"/>
          <w:sz w:val="32"/>
          <w:szCs w:val="32"/>
          <w:highlight w:val="none"/>
          <w:lang w:val="en-US" w:eastAsia="zh-CN" w:bidi="ar"/>
        </w:rPr>
        <w:t>服务供应商确保制定迎检及应急预案，承诺当合同履行期间出现台风、暴雨水浸、断电、火灾等突发事件，或有迎检、重大活动、节假日等应急任务时，应调配一定数量的应急垃圾后压缩垃圾运输车作为应急备用，并调配足够的应急作业人员以保障迎检工作、重大活动、节假日及突发事件的垃圾清运任务的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A27E4"/>
    <w:rsid w:val="735A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3">
    <w:name w:val="Normal Indent"/>
    <w:basedOn w:val="1"/>
    <w:qFormat/>
    <w:uiPriority w:val="0"/>
    <w:pPr>
      <w:ind w:firstLine="420"/>
    </w:pPr>
    <w:rPr>
      <w:kern w:val="2"/>
      <w:sz w:val="21"/>
    </w:rPr>
  </w:style>
  <w:style w:type="paragraph" w:styleId="4">
    <w:name w:val="Subtitle"/>
    <w:basedOn w:val="1"/>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题目副题"/>
    <w:basedOn w:val="4"/>
    <w:qFormat/>
    <w:uiPriority w:val="0"/>
    <w:pPr>
      <w:spacing w:before="0" w:beforeLines="0" w:after="312" w:afterLines="0"/>
      <w:ind w:left="240" w:firstLine="600"/>
      <w:jc w:val="left"/>
      <w:outlineLvl w:val="9"/>
    </w:pPr>
    <w:rPr>
      <w:rFonts w:ascii="宋体" w:hAnsi="宋体" w:cs="Times New Roman"/>
      <w:bCs w:val="0"/>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2024-06-28T10:11:00Z</dcterms:created>
  <dc:creator>金橙</dc:creator>
  <cp:lastModifiedBy>金橙</cp:lastModifiedBy>
  <dcterms:modified xsi:type="dcterms:W3CDTF">2024-06-28T10:11:40Z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98693419BAE34BE7BE89BE8C746EA243</vt:lpwstr>
  </property>
</Properties>
</file>